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5"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3" w:lineRule="exact"/>
        <w:rPr>
          <w:sz w:val="24"/>
          <w:szCs w:val="24"/>
          <w:color w:val="auto"/>
        </w:rPr>
      </w:pPr>
    </w:p>
    <w:p>
      <w:pPr>
        <w:ind w:left="320" w:right="20"/>
        <w:spacing w:after="0" w:line="278"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-184785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4" w:lineRule="exact"/>
        <w:rPr>
          <w:sz w:val="24"/>
          <w:szCs w:val="24"/>
          <w:color w:val="auto"/>
        </w:rPr>
      </w:pPr>
    </w:p>
    <w:p>
      <w:pPr>
        <w:ind w:left="320"/>
        <w:spacing w:after="0" w:line="23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-537845</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jc w:val="center"/>
              <w:ind w:right="38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80" w:type="dxa"/>
            <w:vAlign w:val="bottom"/>
            <w:vMerge w:val="restart"/>
          </w:tcPr>
          <w:p>
            <w:pPr>
              <w:jc w:val="center"/>
              <w:ind w:right="38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jc w:val="center"/>
              <w:ind w:right="382"/>
              <w:spacing w:after="0" w:line="172"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vMerge w:val="restart"/>
          </w:tcPr>
          <w:p>
            <w:pPr>
              <w:jc w:val="center"/>
              <w:ind w:right="38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5135880</wp:posOffset>
            </wp:positionH>
            <wp:positionV relativeFrom="paragraph">
              <wp:posOffset>-583565</wp:posOffset>
            </wp:positionV>
            <wp:extent cx="55880" cy="596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6900"/>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-583565</wp:posOffset>
            </wp:positionV>
            <wp:extent cx="55880" cy="596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690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-1779905</wp:posOffset>
            </wp:positionH>
            <wp:positionV relativeFrom="paragraph">
              <wp:posOffset>615950</wp:posOffset>
            </wp:positionV>
            <wp:extent cx="7002780" cy="8886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780" cy="8886825"/>
                    </a:xfrm>
                    <a:prstGeom prst="rect">
                      <a:avLst/>
                    </a:prstGeom>
                    <a:noFill/>
                  </pic:spPr>
                </pic:pic>
              </a:graphicData>
            </a:graphic>
          </wp:anchor>
        </w:drawing>
      </w:r>
    </w:p>
    <w:p>
      <w:pPr>
        <w:spacing w:after="0" w:line="1043" w:lineRule="exact"/>
        <w:rPr>
          <w:sz w:val="24"/>
          <w:szCs w:val="24"/>
          <w:color w:val="auto"/>
        </w:rPr>
      </w:pPr>
    </w:p>
    <w:p>
      <w:pPr>
        <w:sectPr>
          <w:pgSz w:w="11900" w:h="16838" w:orient="portrait"/>
          <w:cols w:equalWidth="0" w:num="2">
            <w:col w:w="2300" w:space="480"/>
            <w:col w:w="8300"/>
          </w:cols>
          <w:pgMar w:left="460" w:top="210" w:right="359" w:bottom="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BAKER BROS. ADVISORS LP</w:t>
        </w:r>
      </w:hyperlink>
    </w:p>
    <w:p>
      <w:pPr>
        <w:spacing w:after="0" w:line="276"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66"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4"/>
          <w:szCs w:val="14"/>
          <w:color w:val="0000FF"/>
        </w:rPr>
        <w:t>860 WASHINGTON STREET,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Denali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DNLI</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06/03/2026</w:t>
      </w:r>
    </w:p>
    <w:p>
      <w:pPr>
        <w:spacing w:after="0" w:line="20" w:lineRule="exact"/>
        <w:rPr>
          <w:sz w:val="24"/>
          <w:szCs w:val="24"/>
          <w:color w:val="auto"/>
        </w:rPr>
      </w:pPr>
      <w:r>
        <w:rPr>
          <w:sz w:val="24"/>
          <w:szCs w:val="24"/>
          <w:color w:val="auto"/>
        </w:rPr>
        <w:br w:type="column"/>
      </w:r>
    </w:p>
    <w:p>
      <w:pPr>
        <w:ind w:left="-1" w:right="840" w:firstLine="1"/>
        <w:spacing w:after="0" w:line="265" w:lineRule="auto"/>
        <w:tabs>
          <w:tab w:leader="none" w:pos="132"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9" w:lineRule="exact"/>
        <w:rPr>
          <w:sz w:val="24"/>
          <w:szCs w:val="24"/>
          <w:color w:val="auto"/>
        </w:rPr>
      </w:pPr>
    </w:p>
    <w:p>
      <w:pPr>
        <w:ind w:left="519"/>
        <w:spacing w:after="0"/>
        <w:tabs>
          <w:tab w:leader="none" w:pos="2098"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66" w:lineRule="exact"/>
        <w:rPr>
          <w:sz w:val="24"/>
          <w:szCs w:val="24"/>
          <w:color w:val="auto"/>
        </w:rPr>
      </w:pPr>
    </w:p>
    <w:p>
      <w:pPr>
        <w:jc w:val="right"/>
        <w:ind w:right="50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spacing w:after="0" w:line="6" w:lineRule="exact"/>
        <w:rPr>
          <w:sz w:val="24"/>
          <w:szCs w:val="24"/>
          <w:color w:val="auto"/>
        </w:rPr>
      </w:pPr>
    </w:p>
    <w:p>
      <w:pPr>
        <w:ind w:left="519"/>
        <w:spacing w:after="0"/>
        <w:tabs>
          <w:tab w:leader="none" w:pos="2098"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62" w:lineRule="exact"/>
        <w:rPr>
          <w:sz w:val="24"/>
          <w:szCs w:val="24"/>
          <w:color w:val="auto"/>
        </w:rPr>
      </w:pPr>
    </w:p>
    <w:p>
      <w:pPr>
        <w:sectPr>
          <w:pgSz w:w="11900" w:h="16838" w:orient="portrait"/>
          <w:cols w:equalWidth="0" w:num="3">
            <w:col w:w="3180" w:space="720"/>
            <w:col w:w="3101" w:space="720"/>
            <w:col w:w="3359"/>
          </w:cols>
          <w:pgMar w:left="460" w:top="210" w:right="359" w:bottom="0" w:gutter="0" w:footer="0" w:header="0"/>
          <w:type w:val="continuous"/>
        </w:sectPr>
      </w:pP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0" w:type="dxa"/>
            <w:vAlign w:val="bottom"/>
            <w:gridSpan w:val="10"/>
          </w:tcPr>
          <w:p>
            <w:pPr>
              <w:ind w:left="80"/>
              <w:spacing w:after="0"/>
              <w:rPr>
                <w:sz w:val="20"/>
                <w:szCs w:val="20"/>
                <w:color w:val="auto"/>
              </w:rPr>
            </w:pPr>
            <w:r>
              <w:rPr>
                <w:rFonts w:ascii="Arial" w:cs="Arial" w:eastAsia="Arial" w:hAnsi="Arial"/>
                <w:sz w:val="12"/>
                <w:szCs w:val="12"/>
                <w:color w:val="auto"/>
              </w:rPr>
              <w:t>4. If Amendment, Date of Original Filed (Month/Day/Year)</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gridSpan w:val="5"/>
          </w:tcPr>
          <w:p>
            <w:pPr>
              <w:ind w:left="14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NY</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0000FF"/>
              </w:rPr>
              <w:t>10014</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40" w:type="dxa"/>
            <w:vAlign w:val="bottom"/>
            <w:gridSpan w:val="4"/>
          </w:tcPr>
          <w:p>
            <w:pPr>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740" w:type="dxa"/>
            <w:vAlign w:val="bottom"/>
            <w:gridSpan w:val="4"/>
          </w:tcPr>
          <w:p>
            <w:pPr>
              <w:spacing w:after="0"/>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(City)</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2"/>
                <w:szCs w:val="12"/>
                <w:color w:val="auto"/>
              </w:rPr>
              <w:t>(State)</w:t>
            </w:r>
          </w:p>
        </w:tc>
        <w:tc>
          <w:tcPr>
            <w:tcW w:w="960" w:type="dxa"/>
            <w:vAlign w:val="bottom"/>
            <w:gridSpan w:val="2"/>
          </w:tcPr>
          <w:p>
            <w:pPr>
              <w:ind w:left="16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gridSpan w:val="3"/>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gridSpan w:val="2"/>
          </w:tcPr>
          <w:p>
            <w:pPr>
              <w:spacing w:after="0"/>
              <w:rPr>
                <w:sz w:val="9"/>
                <w:szCs w:val="9"/>
                <w:color w:val="auto"/>
              </w:rPr>
            </w:pPr>
          </w:p>
        </w:tc>
        <w:tc>
          <w:tcPr>
            <w:tcW w:w="2580" w:type="dxa"/>
            <w:vAlign w:val="bottom"/>
            <w:tcBorders>
              <w:bottom w:val="single" w:sz="8" w:color="2C2C2C"/>
            </w:tcBorders>
            <w:gridSpan w:val="6"/>
          </w:tcPr>
          <w:p>
            <w:pPr>
              <w:spacing w:after="0"/>
              <w:rPr>
                <w:sz w:val="9"/>
                <w:szCs w:val="9"/>
                <w:color w:val="auto"/>
              </w:rPr>
            </w:pPr>
          </w:p>
        </w:tc>
        <w:tc>
          <w:tcPr>
            <w:tcW w:w="1040" w:type="dxa"/>
            <w:vAlign w:val="bottom"/>
            <w:tcBorders>
              <w:bottom w:val="single" w:sz="8" w:color="2C2C2C"/>
            </w:tcBorders>
            <w:gridSpan w:val="4"/>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80" w:type="dxa"/>
            <w:vAlign w:val="bottom"/>
            <w:gridSpan w:val="20"/>
          </w:tcPr>
          <w:p>
            <w:pPr>
              <w:ind w:left="120"/>
              <w:spacing w:after="0"/>
              <w:rPr>
                <w:sz w:val="20"/>
                <w:szCs w:val="20"/>
                <w:color w:val="auto"/>
              </w:rPr>
            </w:pPr>
            <w:r>
              <w:rPr>
                <w:rFonts w:ascii="Arial" w:cs="Arial" w:eastAsia="Arial" w:hAnsi="Arial"/>
                <w:sz w:val="16"/>
                <w:szCs w:val="16"/>
                <w:b w:val="1"/>
                <w:bCs w:val="1"/>
                <w:color w:val="auto"/>
                <w:w w:val="97"/>
              </w:rPr>
              <w:t>Table I - Non-Derivative Securities Acquired, Disposed of, or Beneficially Owned</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62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40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40" w:type="dxa"/>
            <w:vAlign w:val="bottom"/>
          </w:tcPr>
          <w:p>
            <w:pPr>
              <w:spacing w:after="0"/>
              <w:rPr>
                <w:sz w:val="13"/>
                <w:szCs w:val="13"/>
                <w:color w:val="auto"/>
              </w:rPr>
            </w:pPr>
          </w:p>
        </w:tc>
        <w:tc>
          <w:tcPr>
            <w:tcW w:w="1180" w:type="dxa"/>
            <w:vAlign w:val="bottom"/>
            <w:gridSpan w:val="4"/>
          </w:tcPr>
          <w:p>
            <w:pPr>
              <w:ind w:left="2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4"/>
          </w:tcPr>
          <w:p>
            <w:pPr>
              <w:ind w:left="100"/>
              <w:spacing w:after="0"/>
              <w:rPr>
                <w:sz w:val="20"/>
                <w:szCs w:val="20"/>
                <w:color w:val="auto"/>
              </w:rPr>
            </w:pPr>
            <w:r>
              <w:rPr>
                <w:rFonts w:ascii="Arial" w:cs="Arial" w:eastAsia="Arial" w:hAnsi="Arial"/>
                <w:sz w:val="11"/>
                <w:szCs w:val="11"/>
                <w:b w:val="1"/>
                <w:bCs w:val="1"/>
                <w:color w:val="auto"/>
              </w:rPr>
              <w:t>2A. Deemed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24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Ownership</w:t>
            </w:r>
          </w:p>
        </w:tc>
        <w:tc>
          <w:tcPr>
            <w:tcW w:w="1520" w:type="dxa"/>
            <w:vAlign w:val="bottom"/>
          </w:tcPr>
          <w:p>
            <w:pPr>
              <w:ind w:left="20"/>
              <w:spacing w:after="0"/>
              <w:rPr>
                <w:sz w:val="20"/>
                <w:szCs w:val="20"/>
                <w:color w:val="auto"/>
              </w:rPr>
            </w:pPr>
            <w:r>
              <w:rPr>
                <w:rFonts w:ascii="Arial" w:cs="Arial" w:eastAsia="Arial" w:hAnsi="Arial"/>
                <w:sz w:val="11"/>
                <w:szCs w:val="11"/>
                <w:b w:val="1"/>
                <w:bCs w:val="1"/>
                <w:color w:val="auto"/>
              </w:rPr>
              <w:t>7. Nature of Indirect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ind w:left="280"/>
              <w:spacing w:after="0" w:line="120" w:lineRule="exact"/>
              <w:rPr>
                <w:sz w:val="20"/>
                <w:szCs w:val="20"/>
                <w:color w:val="auto"/>
              </w:rPr>
            </w:pPr>
            <w:r>
              <w:rPr>
                <w:rFonts w:ascii="Arial" w:cs="Arial" w:eastAsia="Arial" w:hAnsi="Arial"/>
                <w:sz w:val="11"/>
                <w:szCs w:val="11"/>
                <w:b w:val="1"/>
                <w:bCs w:val="1"/>
                <w:color w:val="auto"/>
              </w:rPr>
              <w:t>Date</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4"/>
          </w:tcPr>
          <w:p>
            <w:pPr>
              <w:ind w:left="10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5"/>
          </w:tcPr>
          <w:p>
            <w:pPr>
              <w:ind w:left="80"/>
              <w:spacing w:after="0" w:line="120" w:lineRule="exact"/>
              <w:rPr>
                <w:sz w:val="20"/>
                <w:szCs w:val="20"/>
                <w:color w:val="auto"/>
              </w:rPr>
            </w:pPr>
            <w:r>
              <w:rPr>
                <w:rFonts w:ascii="Arial" w:cs="Arial" w:eastAsia="Arial" w:hAnsi="Arial"/>
                <w:sz w:val="11"/>
                <w:szCs w:val="11"/>
                <w:b w:val="1"/>
                <w:bCs w:val="1"/>
                <w:color w:val="auto"/>
              </w:rPr>
              <w:t>Disposed Of (D) (Instr. 3, 4 and</w:t>
            </w:r>
          </w:p>
        </w:tc>
        <w:tc>
          <w:tcPr>
            <w:tcW w:w="7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98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Form: Direct</w:t>
            </w:r>
          </w:p>
        </w:tc>
        <w:tc>
          <w:tcPr>
            <w:tcW w:w="152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Beneficial 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4"/>
          </w:tcPr>
          <w:p>
            <w:pPr>
              <w:ind w:left="280"/>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380" w:type="dxa"/>
            <w:vAlign w:val="bottom"/>
          </w:tcPr>
          <w:p>
            <w:pPr>
              <w:ind w:left="100"/>
              <w:spacing w:after="0" w:line="120" w:lineRule="exact"/>
              <w:rPr>
                <w:sz w:val="20"/>
                <w:szCs w:val="20"/>
                <w:color w:val="auto"/>
              </w:rPr>
            </w:pPr>
            <w:r>
              <w:rPr>
                <w:rFonts w:ascii="Arial" w:cs="Arial" w:eastAsia="Arial" w:hAnsi="Arial"/>
                <w:sz w:val="11"/>
                <w:szCs w:val="11"/>
                <w:b w:val="1"/>
                <w:bCs w:val="1"/>
                <w:color w:val="auto"/>
                <w:w w:val="90"/>
              </w:rPr>
              <w:t>if any</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5)</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Beneficially</w:t>
            </w:r>
          </w:p>
        </w:tc>
        <w:tc>
          <w:tcPr>
            <w:tcW w:w="240" w:type="dxa"/>
            <w:vAlign w:val="bottom"/>
          </w:tcPr>
          <w:p>
            <w:pPr>
              <w:spacing w:after="0"/>
              <w:rPr>
                <w:sz w:val="10"/>
                <w:szCs w:val="10"/>
                <w:color w:val="auto"/>
              </w:rPr>
            </w:pPr>
          </w:p>
        </w:tc>
        <w:tc>
          <w:tcPr>
            <w:tcW w:w="98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(D) or Indirect</w:t>
            </w:r>
          </w:p>
        </w:tc>
        <w:tc>
          <w:tcPr>
            <w:tcW w:w="152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4"/>
          </w:tcPr>
          <w:p>
            <w:pPr>
              <w:ind w:left="100"/>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8)</w:t>
            </w: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Owned Following</w:t>
            </w:r>
          </w:p>
        </w:tc>
        <w:tc>
          <w:tcPr>
            <w:tcW w:w="660" w:type="dxa"/>
            <w:vAlign w:val="bottom"/>
          </w:tcPr>
          <w:p>
            <w:pPr>
              <w:ind w:left="100"/>
              <w:spacing w:after="0" w:line="120" w:lineRule="exact"/>
              <w:rPr>
                <w:sz w:val="20"/>
                <w:szCs w:val="20"/>
                <w:color w:val="auto"/>
              </w:rPr>
            </w:pPr>
            <w:r>
              <w:rPr>
                <w:rFonts w:ascii="Arial" w:cs="Arial" w:eastAsia="Arial" w:hAnsi="Arial"/>
                <w:sz w:val="11"/>
                <w:szCs w:val="11"/>
                <w:b w:val="1"/>
                <w:bCs w:val="1"/>
                <w:color w:val="auto"/>
                <w:w w:val="94"/>
              </w:rPr>
              <w:t>(I) (Instr. 4)</w:t>
            </w:r>
          </w:p>
        </w:tc>
        <w:tc>
          <w:tcPr>
            <w:tcW w:w="3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spacing w:after="0" w:line="120" w:lineRule="exact"/>
              <w:rPr>
                <w:sz w:val="20"/>
                <w:szCs w:val="20"/>
                <w:color w:val="auto"/>
              </w:rPr>
            </w:pPr>
            <w:r>
              <w:rPr>
                <w:rFonts w:ascii="Arial" w:cs="Arial" w:eastAsia="Arial" w:hAnsi="Arial"/>
                <w:sz w:val="11"/>
                <w:szCs w:val="11"/>
                <w:b w:val="1"/>
                <w:bCs w:val="1"/>
                <w:color w:val="auto"/>
              </w:rPr>
              <w:t>Reported</w:t>
            </w: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7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w w:val="94"/>
              </w:rPr>
              <w:t>Transaction(s)</w:t>
            </w: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3"/>
            <w:vMerge w:val="continue"/>
          </w:tcPr>
          <w:p>
            <w:pPr>
              <w:spacing w:after="0"/>
              <w:rPr>
                <w:sz w:val="7"/>
                <w:szCs w:val="7"/>
                <w:color w:val="auto"/>
              </w:rPr>
            </w:pPr>
          </w:p>
        </w:tc>
        <w:tc>
          <w:tcPr>
            <w:tcW w:w="74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95"/>
              </w:rPr>
              <w:t>(Instr. 3 and 4)</w:t>
            </w: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13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21"/>
                <w:szCs w:val="21"/>
                <w:color w:val="auto"/>
              </w:rPr>
            </w:pPr>
          </w:p>
        </w:tc>
        <w:tc>
          <w:tcPr>
            <w:tcW w:w="1360" w:type="dxa"/>
            <w:vAlign w:val="bottom"/>
            <w:gridSpan w:val="4"/>
          </w:tcPr>
          <w:p>
            <w:pPr>
              <w:ind w:left="600"/>
              <w:spacing w:after="0"/>
              <w:rPr>
                <w:sz w:val="20"/>
                <w:szCs w:val="20"/>
                <w:color w:val="auto"/>
              </w:rPr>
            </w:pPr>
            <w:r>
              <w:rPr>
                <w:rFonts w:ascii="Times New Roman" w:cs="Times New Roman" w:eastAsia="Times New Roman" w:hAnsi="Times New Roman"/>
                <w:sz w:val="16"/>
                <w:szCs w:val="16"/>
                <w:color w:val="0000FF"/>
              </w:rPr>
              <w:t>06/03/2026</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A</w:t>
            </w:r>
          </w:p>
        </w:tc>
        <w:tc>
          <w:tcPr>
            <w:tcW w:w="82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6,408</w:t>
            </w:r>
            <w:r>
              <w:rPr>
                <w:rFonts w:ascii="Times New Roman" w:cs="Times New Roman" w:eastAsia="Times New Roman" w:hAnsi="Times New Roman"/>
                <w:sz w:val="19"/>
                <w:szCs w:val="19"/>
                <w:color w:val="008000"/>
                <w:vertAlign w:val="superscript"/>
              </w:rPr>
              <w:t>(1)</w:t>
            </w:r>
          </w:p>
        </w:tc>
        <w:tc>
          <w:tcPr>
            <w:tcW w:w="48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12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343,275</w:t>
            </w:r>
          </w:p>
        </w:tc>
        <w:tc>
          <w:tcPr>
            <w:tcW w:w="240" w:type="dxa"/>
            <w:vAlign w:val="bottom"/>
          </w:tcPr>
          <w:p>
            <w:pPr>
              <w:spacing w:after="0"/>
              <w:rPr>
                <w:sz w:val="21"/>
                <w:szCs w:val="21"/>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Pr>
          <w:p>
            <w:pPr>
              <w:spacing w:after="0"/>
              <w:rPr>
                <w:sz w:val="21"/>
                <w:szCs w:val="21"/>
                <w:color w:val="auto"/>
              </w:rPr>
            </w:pPr>
          </w:p>
        </w:tc>
        <w:tc>
          <w:tcPr>
            <w:tcW w:w="1520" w:type="dxa"/>
            <w:vAlign w:val="bottom"/>
          </w:tcPr>
          <w:p>
            <w:pPr>
              <w:ind w:left="20"/>
              <w:spacing w:after="0" w:line="252" w:lineRule="exact"/>
              <w:rPr>
                <w:sz w:val="20"/>
                <w:szCs w:val="20"/>
                <w:color w:val="auto"/>
              </w:rPr>
            </w:pPr>
            <w:r>
              <w:rPr>
                <w:rFonts w:ascii="Times New Roman" w:cs="Times New Roman" w:eastAsia="Times New Roman" w:hAnsi="Times New Roman"/>
                <w:sz w:val="29"/>
                <w:szCs w:val="29"/>
                <w:color w:val="0000FF"/>
                <w:w w:val="95"/>
                <w:vertAlign w:val="subscript"/>
              </w:rPr>
              <w:t>See Footnotes</w:t>
            </w:r>
            <w:r>
              <w:rPr>
                <w:rFonts w:ascii="Times New Roman" w:cs="Times New Roman" w:eastAsia="Times New Roman" w:hAnsi="Times New Roman"/>
                <w:sz w:val="10"/>
                <w:szCs w:val="10"/>
                <w:color w:val="008000"/>
                <w:w w:val="95"/>
              </w:rPr>
              <w:t>(2)(3)(4)(5)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(6)(7)(8)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1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13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21"/>
                <w:szCs w:val="21"/>
                <w:color w:val="auto"/>
              </w:rPr>
            </w:pPr>
          </w:p>
        </w:tc>
        <w:tc>
          <w:tcPr>
            <w:tcW w:w="1360" w:type="dxa"/>
            <w:vAlign w:val="bottom"/>
            <w:gridSpan w:val="4"/>
          </w:tcPr>
          <w:p>
            <w:pPr>
              <w:ind w:left="600"/>
              <w:spacing w:after="0"/>
              <w:rPr>
                <w:sz w:val="20"/>
                <w:szCs w:val="20"/>
                <w:color w:val="auto"/>
              </w:rPr>
            </w:pPr>
            <w:r>
              <w:rPr>
                <w:rFonts w:ascii="Times New Roman" w:cs="Times New Roman" w:eastAsia="Times New Roman" w:hAnsi="Times New Roman"/>
                <w:sz w:val="16"/>
                <w:szCs w:val="16"/>
                <w:color w:val="0000FF"/>
              </w:rPr>
              <w:t>06/03/2026</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A</w:t>
            </w:r>
          </w:p>
        </w:tc>
        <w:tc>
          <w:tcPr>
            <w:tcW w:w="82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6,408</w:t>
            </w:r>
            <w:r>
              <w:rPr>
                <w:rFonts w:ascii="Times New Roman" w:cs="Times New Roman" w:eastAsia="Times New Roman" w:hAnsi="Times New Roman"/>
                <w:sz w:val="19"/>
                <w:szCs w:val="19"/>
                <w:color w:val="008000"/>
                <w:vertAlign w:val="superscript"/>
              </w:rPr>
              <w:t>(1)</w:t>
            </w:r>
          </w:p>
        </w:tc>
        <w:tc>
          <w:tcPr>
            <w:tcW w:w="48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12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0000FF"/>
              </w:rPr>
              <w:t>3,422,366</w:t>
            </w:r>
          </w:p>
        </w:tc>
        <w:tc>
          <w:tcPr>
            <w:tcW w:w="66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Pr>
          <w:p>
            <w:pPr>
              <w:spacing w:after="0"/>
              <w:rPr>
                <w:sz w:val="21"/>
                <w:szCs w:val="21"/>
                <w:color w:val="auto"/>
              </w:rPr>
            </w:pPr>
          </w:p>
        </w:tc>
        <w:tc>
          <w:tcPr>
            <w:tcW w:w="1520" w:type="dxa"/>
            <w:vAlign w:val="bottom"/>
          </w:tcPr>
          <w:p>
            <w:pPr>
              <w:ind w:left="20"/>
              <w:spacing w:after="0" w:line="252" w:lineRule="exact"/>
              <w:rPr>
                <w:sz w:val="20"/>
                <w:szCs w:val="20"/>
                <w:color w:val="auto"/>
              </w:rPr>
            </w:pPr>
            <w:r>
              <w:rPr>
                <w:rFonts w:ascii="Times New Roman" w:cs="Times New Roman" w:eastAsia="Times New Roman" w:hAnsi="Times New Roman"/>
                <w:sz w:val="29"/>
                <w:szCs w:val="29"/>
                <w:color w:val="0000FF"/>
                <w:w w:val="95"/>
                <w:vertAlign w:val="subscript"/>
              </w:rPr>
              <w:t>See Footnotes</w:t>
            </w:r>
            <w:r>
              <w:rPr>
                <w:rFonts w:ascii="Times New Roman" w:cs="Times New Roman" w:eastAsia="Times New Roman" w:hAnsi="Times New Roman"/>
                <w:sz w:val="10"/>
                <w:szCs w:val="10"/>
                <w:color w:val="008000"/>
                <w:w w:val="95"/>
              </w:rPr>
              <w:t>(3)(4)(5)(6)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(7)(8)(9)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2580" w:type="dxa"/>
            <w:vAlign w:val="bottom"/>
            <w:tcBorders>
              <w:bottom w:val="single" w:sz="8" w:color="2C2C2C"/>
            </w:tcBorders>
            <w:gridSpan w:val="6"/>
          </w:tcPr>
          <w:p>
            <w:pPr>
              <w:spacing w:after="0"/>
              <w:rPr>
                <w:sz w:val="7"/>
                <w:szCs w:val="7"/>
                <w:color w:val="auto"/>
              </w:rPr>
            </w:pPr>
          </w:p>
        </w:tc>
        <w:tc>
          <w:tcPr>
            <w:tcW w:w="1040" w:type="dxa"/>
            <w:vAlign w:val="bottom"/>
            <w:tcBorders>
              <w:bottom w:val="single" w:sz="8" w:color="2C2C2C"/>
            </w:tcBorders>
            <w:gridSpan w:val="4"/>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40" w:type="dxa"/>
            <w:vAlign w:val="bottom"/>
            <w:gridSpan w:val="19"/>
          </w:tcPr>
          <w:p>
            <w:pPr>
              <w:jc w:val="center"/>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80" w:type="dxa"/>
            <w:vAlign w:val="bottom"/>
            <w:gridSpan w:val="17"/>
          </w:tcPr>
          <w:p>
            <w:pPr>
              <w:jc w:val="center"/>
              <w:ind w:right="48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5"/>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gridSpan w:val="5"/>
          </w:tcPr>
          <w:p>
            <w:pPr>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20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5"/>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320" w:type="dxa"/>
            <w:vAlign w:val="bottom"/>
          </w:tcPr>
          <w:p>
            <w:pPr>
              <w:spacing w:after="0"/>
              <w:rPr>
                <w:sz w:val="20"/>
                <w:szCs w:val="20"/>
                <w:color w:val="auto"/>
              </w:rPr>
            </w:pPr>
            <w:r>
              <w:rPr>
                <w:rFonts w:ascii="Arial" w:cs="Arial" w:eastAsia="Arial" w:hAnsi="Arial"/>
                <w:sz w:val="11"/>
                <w:szCs w:val="11"/>
                <w:b w:val="1"/>
                <w:bCs w:val="1"/>
                <w:color w:val="auto"/>
              </w:rPr>
              <w:t>10.</w:t>
            </w:r>
          </w:p>
        </w:tc>
        <w:tc>
          <w:tcPr>
            <w:tcW w:w="1520" w:type="dxa"/>
            <w:vAlign w:val="bottom"/>
          </w:tcPr>
          <w:p>
            <w:pPr>
              <w:ind w:left="380"/>
              <w:spacing w:after="0"/>
              <w:rPr>
                <w:sz w:val="20"/>
                <w:szCs w:val="20"/>
                <w:color w:val="auto"/>
              </w:rPr>
            </w:pPr>
            <w:r>
              <w:rPr>
                <w:rFonts w:ascii="Arial" w:cs="Arial" w:eastAsia="Arial" w:hAnsi="Arial"/>
                <w:sz w:val="11"/>
                <w:szCs w:val="11"/>
                <w:b w:val="1"/>
                <w:bCs w:val="1"/>
                <w:color w:val="auto"/>
              </w:rPr>
              <w:t>11. Nature of Indirect</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6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6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Derivative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gridSpan w:val="2"/>
          </w:tcPr>
          <w:p>
            <w:pPr>
              <w:ind w:left="200"/>
              <w:spacing w:after="0" w:line="120" w:lineRule="exact"/>
              <w:rPr>
                <w:sz w:val="20"/>
                <w:szCs w:val="20"/>
                <w:color w:val="auto"/>
              </w:rPr>
            </w:pPr>
            <w:r>
              <w:rPr>
                <w:rFonts w:ascii="Arial" w:cs="Arial" w:eastAsia="Arial" w:hAnsi="Arial"/>
                <w:sz w:val="11"/>
                <w:szCs w:val="11"/>
                <w:b w:val="1"/>
                <w:bCs w:val="1"/>
                <w:color w:val="auto"/>
              </w:rPr>
              <w:t>Expiration Date</w:t>
            </w:r>
          </w:p>
        </w:tc>
        <w:tc>
          <w:tcPr>
            <w:tcW w:w="108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of Securities</w:t>
            </w:r>
          </w:p>
        </w:tc>
        <w:tc>
          <w:tcPr>
            <w:tcW w:w="80" w:type="dxa"/>
            <w:vAlign w:val="bottom"/>
          </w:tcPr>
          <w:p>
            <w:pPr>
              <w:spacing w:after="0"/>
              <w:rPr>
                <w:sz w:val="10"/>
                <w:szCs w:val="10"/>
                <w:color w:val="auto"/>
              </w:rPr>
            </w:pP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derivative</w:t>
            </w:r>
          </w:p>
        </w:tc>
        <w:tc>
          <w:tcPr>
            <w:tcW w:w="18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Ownership  Beneficial 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(Month/Day/Year)</w:t>
            </w:r>
          </w:p>
        </w:tc>
        <w:tc>
          <w:tcPr>
            <w:tcW w:w="96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6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gridSpan w:val="2"/>
          </w:tcPr>
          <w:p>
            <w:pPr>
              <w:ind w:left="200"/>
              <w:spacing w:after="0" w:line="120"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Underlying</w:t>
            </w:r>
          </w:p>
        </w:tc>
        <w:tc>
          <w:tcPr>
            <w:tcW w:w="80" w:type="dxa"/>
            <w:vAlign w:val="bottom"/>
          </w:tcPr>
          <w:p>
            <w:pPr>
              <w:spacing w:after="0"/>
              <w:rPr>
                <w:sz w:val="10"/>
                <w:szCs w:val="10"/>
                <w:color w:val="auto"/>
              </w:rPr>
            </w:pP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9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line="120" w:lineRule="exact"/>
              <w:rPr>
                <w:sz w:val="20"/>
                <w:szCs w:val="20"/>
                <w:color w:val="auto"/>
              </w:rPr>
            </w:pPr>
            <w:r>
              <w:rPr>
                <w:rFonts w:ascii="Arial" w:cs="Arial" w:eastAsia="Arial" w:hAnsi="Arial"/>
                <w:sz w:val="11"/>
                <w:szCs w:val="11"/>
                <w:b w:val="1"/>
                <w:bCs w:val="1"/>
                <w:color w:val="auto"/>
                <w:w w:val="96"/>
              </w:rPr>
              <w:t>Form:</w:t>
            </w:r>
          </w:p>
        </w:tc>
        <w:tc>
          <w:tcPr>
            <w:tcW w:w="1520" w:type="dxa"/>
            <w:vAlign w:val="bottom"/>
          </w:tcPr>
          <w:p>
            <w:pPr>
              <w:ind w:left="380"/>
              <w:spacing w:after="0" w:line="120"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96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w w:val="99"/>
              </w:rPr>
              <w:t>(Month/Day/Year)</w:t>
            </w:r>
          </w:p>
        </w:tc>
        <w:tc>
          <w:tcPr>
            <w:tcW w:w="40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gridSpan w:val="5"/>
          </w:tcPr>
          <w:p>
            <w:pPr>
              <w:spacing w:after="0" w:line="120" w:lineRule="exact"/>
              <w:rPr>
                <w:sz w:val="20"/>
                <w:szCs w:val="20"/>
                <w:color w:val="auto"/>
              </w:rPr>
            </w:pPr>
            <w:r>
              <w:rPr>
                <w:rFonts w:ascii="Arial" w:cs="Arial" w:eastAsia="Arial" w:hAnsi="Arial"/>
                <w:sz w:val="11"/>
                <w:szCs w:val="11"/>
                <w:b w:val="1"/>
                <w:bCs w:val="1"/>
                <w:color w:val="auto"/>
              </w:rPr>
              <w:t>Acquired (A)</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8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w w:val="98"/>
              </w:rPr>
              <w:t>Derivative Security</w:t>
            </w:r>
          </w:p>
        </w:tc>
        <w:tc>
          <w:tcPr>
            <w:tcW w:w="80" w:type="dxa"/>
            <w:vAlign w:val="bottom"/>
          </w:tcPr>
          <w:p>
            <w:pPr>
              <w:spacing w:after="0"/>
              <w:rPr>
                <w:sz w:val="10"/>
                <w:szCs w:val="10"/>
                <w:color w:val="auto"/>
              </w:rPr>
            </w:pP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9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Beneficially</w:t>
            </w:r>
          </w:p>
        </w:tc>
        <w:tc>
          <w:tcPr>
            <w:tcW w:w="18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Direct (D)</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0" w:type="dxa"/>
            <w:vAlign w:val="bottom"/>
            <w:gridSpan w:val="6"/>
          </w:tcPr>
          <w:p>
            <w:pPr>
              <w:spacing w:after="0" w:line="120" w:lineRule="exact"/>
              <w:rPr>
                <w:sz w:val="20"/>
                <w:szCs w:val="20"/>
                <w:color w:val="auto"/>
              </w:rPr>
            </w:pPr>
            <w:r>
              <w:rPr>
                <w:rFonts w:ascii="Arial" w:cs="Arial" w:eastAsia="Arial" w:hAnsi="Arial"/>
                <w:sz w:val="11"/>
                <w:szCs w:val="11"/>
                <w:b w:val="1"/>
                <w:bCs w:val="1"/>
                <w:color w:val="auto"/>
              </w:rPr>
              <w:t>or Disposed of</w:t>
            </w:r>
          </w:p>
        </w:tc>
        <w:tc>
          <w:tcPr>
            <w:tcW w:w="820" w:type="dxa"/>
            <w:vAlign w:val="bottom"/>
          </w:tcPr>
          <w:p>
            <w:pPr>
              <w:spacing w:after="0"/>
              <w:rPr>
                <w:sz w:val="10"/>
                <w:szCs w:val="10"/>
                <w:color w:val="auto"/>
              </w:rPr>
            </w:pPr>
          </w:p>
        </w:tc>
        <w:tc>
          <w:tcPr>
            <w:tcW w:w="108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Owned</w:t>
            </w:r>
          </w:p>
        </w:tc>
        <w:tc>
          <w:tcPr>
            <w:tcW w:w="18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or 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gridSpan w:val="5"/>
          </w:tcPr>
          <w:p>
            <w:pPr>
              <w:spacing w:after="0" w:line="120" w:lineRule="exact"/>
              <w:rPr>
                <w:sz w:val="20"/>
                <w:szCs w:val="20"/>
                <w:color w:val="auto"/>
              </w:rPr>
            </w:pPr>
            <w:r>
              <w:rPr>
                <w:rFonts w:ascii="Arial" w:cs="Arial" w:eastAsia="Arial" w:hAnsi="Arial"/>
                <w:sz w:val="11"/>
                <w:szCs w:val="11"/>
                <w:b w:val="1"/>
                <w:bCs w:val="1"/>
                <w:color w:val="auto"/>
                <w:w w:val="96"/>
              </w:rPr>
              <w:t>(D) (Instr. 3, 4</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Following</w:t>
            </w:r>
          </w:p>
        </w:tc>
        <w:tc>
          <w:tcPr>
            <w:tcW w:w="18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 (Instr.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gridSpan w:val="2"/>
            <w:vMerge w:val="restart"/>
          </w:tcPr>
          <w:p>
            <w:pPr>
              <w:ind w:left="40"/>
              <w:spacing w:after="0" w:line="120"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w w:val="96"/>
              </w:rPr>
              <w:t>Amount</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w w:val="96"/>
              </w:rPr>
              <w:t>Number</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0"/>
              <w:spacing w:after="0" w:line="120" w:lineRule="exact"/>
              <w:rPr>
                <w:sz w:val="20"/>
                <w:szCs w:val="20"/>
                <w:color w:val="auto"/>
              </w:rPr>
            </w:pPr>
            <w:r>
              <w:rPr>
                <w:rFonts w:ascii="Arial" w:cs="Arial" w:eastAsia="Arial" w:hAnsi="Arial"/>
                <w:sz w:val="11"/>
                <w:szCs w:val="11"/>
                <w:b w:val="1"/>
                <w:bCs w:val="1"/>
                <w:color w:val="auto"/>
              </w:rPr>
              <w:t>Date</w:t>
            </w:r>
          </w:p>
        </w:tc>
        <w:tc>
          <w:tcPr>
            <w:tcW w:w="820" w:type="dxa"/>
            <w:vAlign w:val="bottom"/>
          </w:tcPr>
          <w:p>
            <w:pPr>
              <w:ind w:left="240"/>
              <w:spacing w:after="0" w:line="120"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w:t>
            </w: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620" w:type="dxa"/>
            <w:vAlign w:val="bottom"/>
            <w:gridSpan w:val="3"/>
          </w:tcPr>
          <w:p>
            <w:pPr>
              <w:spacing w:after="0"/>
              <w:rPr>
                <w:sz w:val="20"/>
                <w:szCs w:val="20"/>
                <w:color w:val="auto"/>
              </w:rPr>
            </w:pPr>
            <w:r>
              <w:rPr>
                <w:rFonts w:ascii="Arial" w:cs="Arial" w:eastAsia="Arial" w:hAnsi="Arial"/>
                <w:sz w:val="11"/>
                <w:szCs w:val="11"/>
                <w:b w:val="1"/>
                <w:bCs w:val="1"/>
                <w:color w:val="auto"/>
              </w:rPr>
              <w:t>(A)</w:t>
            </w:r>
          </w:p>
        </w:tc>
        <w:tc>
          <w:tcPr>
            <w:tcW w:w="1600" w:type="dxa"/>
            <w:vAlign w:val="bottom"/>
            <w:gridSpan w:val="4"/>
          </w:tcPr>
          <w:p>
            <w:pPr>
              <w:ind w:left="20"/>
              <w:spacing w:after="0"/>
              <w:rPr>
                <w:sz w:val="20"/>
                <w:szCs w:val="20"/>
                <w:color w:val="auto"/>
              </w:rPr>
            </w:pPr>
            <w:r>
              <w:rPr>
                <w:rFonts w:ascii="Arial" w:cs="Arial" w:eastAsia="Arial" w:hAnsi="Arial"/>
                <w:sz w:val="11"/>
                <w:szCs w:val="11"/>
                <w:b w:val="1"/>
                <w:bCs w:val="1"/>
                <w:color w:val="auto"/>
              </w:rPr>
              <w:t>(D)  Exercisable  Date</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2"/>
                <w:szCs w:val="12"/>
                <w:color w:val="auto"/>
              </w:rPr>
            </w:pPr>
          </w:p>
        </w:tc>
        <w:tc>
          <w:tcPr>
            <w:tcW w:w="48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64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Qualified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w w:val="88"/>
              </w:rPr>
              <w:t>See Footnotes</w:t>
            </w:r>
            <w:r>
              <w:rPr>
                <w:rFonts w:ascii="Times New Roman" w:cs="Times New Roman" w:eastAsia="Times New Roman" w:hAnsi="Times New Roman"/>
                <w:sz w:val="19"/>
                <w:szCs w:val="19"/>
                <w:color w:val="008000"/>
                <w:w w:val="88"/>
                <w:vertAlign w:val="superscript"/>
              </w:rPr>
              <w:t>(2)(3)(4)(5)</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19.66</w:t>
            </w:r>
          </w:p>
        </w:tc>
        <w:tc>
          <w:tcPr>
            <w:tcW w:w="1080" w:type="dxa"/>
            <w:vAlign w:val="bottom"/>
          </w:tcPr>
          <w:p>
            <w:pPr>
              <w:ind w:left="280"/>
              <w:spacing w:after="0"/>
              <w:rPr>
                <w:sz w:val="20"/>
                <w:szCs w:val="20"/>
                <w:color w:val="auto"/>
              </w:rPr>
            </w:pPr>
            <w:r>
              <w:rPr>
                <w:rFonts w:ascii="Times New Roman" w:cs="Times New Roman" w:eastAsia="Times New Roman" w:hAnsi="Times New Roman"/>
                <w:sz w:val="12"/>
                <w:szCs w:val="12"/>
                <w:color w:val="0000FF"/>
              </w:rPr>
              <w:t>06/03/2026</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0000FF"/>
              </w:rPr>
              <w:t>A</w:t>
            </w:r>
          </w:p>
        </w:tc>
        <w:tc>
          <w:tcPr>
            <w:tcW w:w="380" w:type="dxa"/>
            <w:vAlign w:val="bottom"/>
          </w:tcPr>
          <w:p>
            <w:pPr>
              <w:spacing w:after="0"/>
              <w:rPr>
                <w:sz w:val="16"/>
                <w:szCs w:val="16"/>
                <w:color w:val="auto"/>
              </w:rPr>
            </w:pPr>
          </w:p>
        </w:tc>
        <w:tc>
          <w:tcPr>
            <w:tcW w:w="62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2"/>
                <w:szCs w:val="12"/>
                <w:color w:val="0000FF"/>
              </w:rPr>
              <w:t>19,226</w:t>
            </w:r>
            <w:r>
              <w:rPr>
                <w:rFonts w:ascii="Times New Roman" w:cs="Times New Roman" w:eastAsia="Times New Roman" w:hAnsi="Times New Roman"/>
                <w:sz w:val="19"/>
                <w:szCs w:val="19"/>
                <w:color w:val="008000"/>
                <w:vertAlign w:val="superscript"/>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0"/>
                <w:szCs w:val="10"/>
                <w:color w:val="008000"/>
              </w:rPr>
              <w:t>(10)</w:t>
            </w:r>
          </w:p>
        </w:tc>
        <w:tc>
          <w:tcPr>
            <w:tcW w:w="820" w:type="dxa"/>
            <w:vAlign w:val="bottom"/>
          </w:tcPr>
          <w:p>
            <w:pPr>
              <w:ind w:left="240"/>
              <w:spacing w:after="0"/>
              <w:rPr>
                <w:sz w:val="20"/>
                <w:szCs w:val="20"/>
                <w:color w:val="auto"/>
              </w:rPr>
            </w:pPr>
            <w:r>
              <w:rPr>
                <w:rFonts w:ascii="Times New Roman" w:cs="Times New Roman" w:eastAsia="Times New Roman" w:hAnsi="Times New Roman"/>
                <w:sz w:val="12"/>
                <w:szCs w:val="12"/>
                <w:color w:val="0000FF"/>
              </w:rPr>
              <w:t>06/03/2036</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0000FF"/>
              </w:rPr>
              <w:t>Common</w:t>
            </w: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19,226</w:t>
            </w:r>
          </w:p>
        </w:tc>
        <w:tc>
          <w:tcPr>
            <w:tcW w:w="66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24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19,226</w:t>
            </w:r>
          </w:p>
        </w:tc>
        <w:tc>
          <w:tcPr>
            <w:tcW w:w="320" w:type="dxa"/>
            <w:vAlign w:val="bottom"/>
          </w:tcPr>
          <w:p>
            <w:pPr>
              <w:ind w:left="280"/>
              <w:spacing w:after="0"/>
              <w:rPr>
                <w:sz w:val="20"/>
                <w:szCs w:val="20"/>
                <w:color w:val="auto"/>
              </w:rPr>
            </w:pPr>
            <w:r>
              <w:rPr>
                <w:rFonts w:ascii="Times New Roman" w:cs="Times New Roman" w:eastAsia="Times New Roman" w:hAnsi="Times New Roman"/>
                <w:sz w:val="8"/>
                <w:szCs w:val="8"/>
                <w:color w:val="0000FF"/>
                <w:w w:val="73"/>
              </w:rPr>
              <w:t>I</w:t>
            </w:r>
          </w:p>
        </w:tc>
        <w:tc>
          <w:tcPr>
            <w:tcW w:w="1520" w:type="dxa"/>
            <w:vAlign w:val="bottom"/>
            <w:vMerge w:val="continue"/>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640" w:type="dxa"/>
            <w:vAlign w:val="bottom"/>
            <w:gridSpan w:val="3"/>
          </w:tcPr>
          <w:p>
            <w:pPr>
              <w:ind w:left="60"/>
              <w:spacing w:after="0" w:line="73" w:lineRule="exact"/>
              <w:rPr>
                <w:sz w:val="20"/>
                <w:szCs w:val="20"/>
                <w:color w:val="auto"/>
              </w:rPr>
            </w:pPr>
            <w:r>
              <w:rPr>
                <w:rFonts w:ascii="Times New Roman" w:cs="Times New Roman" w:eastAsia="Times New Roman" w:hAnsi="Times New Roman"/>
                <w:sz w:val="8"/>
                <w:szCs w:val="8"/>
                <w:color w:val="0000FF"/>
              </w:rPr>
              <w:t>Option</w:t>
            </w: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ind w:left="180"/>
              <w:spacing w:after="0" w:line="73" w:lineRule="exact"/>
              <w:rPr>
                <w:sz w:val="20"/>
                <w:szCs w:val="20"/>
                <w:color w:val="auto"/>
              </w:rPr>
            </w:pPr>
            <w:r>
              <w:rPr>
                <w:rFonts w:ascii="Times New Roman" w:cs="Times New Roman" w:eastAsia="Times New Roman" w:hAnsi="Times New Roman"/>
                <w:sz w:val="8"/>
                <w:szCs w:val="8"/>
                <w:color w:val="0000FF"/>
              </w:rPr>
              <w:t>Stock</w:t>
            </w: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20" w:type="dxa"/>
            <w:vAlign w:val="bottom"/>
          </w:tcPr>
          <w:p>
            <w:pPr>
              <w:ind w:left="380"/>
              <w:spacing w:after="0" w:line="73" w:lineRule="exact"/>
              <w:rPr>
                <w:sz w:val="20"/>
                <w:szCs w:val="20"/>
                <w:color w:val="auto"/>
              </w:rPr>
            </w:pPr>
            <w:r>
              <w:rPr>
                <w:rFonts w:ascii="Times New Roman" w:cs="Times New Roman" w:eastAsia="Times New Roman" w:hAnsi="Times New Roman"/>
                <w:sz w:val="7"/>
                <w:szCs w:val="7"/>
                <w:color w:val="008000"/>
              </w:rPr>
              <w:t>(6)(7)</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64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(right to</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64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Qualified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w w:val="88"/>
              </w:rPr>
              <w:t>See Footnotes</w:t>
            </w:r>
            <w:r>
              <w:rPr>
                <w:rFonts w:ascii="Times New Roman" w:cs="Times New Roman" w:eastAsia="Times New Roman" w:hAnsi="Times New Roman"/>
                <w:sz w:val="19"/>
                <w:szCs w:val="19"/>
                <w:color w:val="008000"/>
                <w:w w:val="88"/>
                <w:vertAlign w:val="superscript"/>
              </w:rPr>
              <w:t>(3)(4)(5)(6)</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19.66</w:t>
            </w:r>
          </w:p>
        </w:tc>
        <w:tc>
          <w:tcPr>
            <w:tcW w:w="1080" w:type="dxa"/>
            <w:vAlign w:val="bottom"/>
          </w:tcPr>
          <w:p>
            <w:pPr>
              <w:ind w:left="280"/>
              <w:spacing w:after="0"/>
              <w:rPr>
                <w:sz w:val="20"/>
                <w:szCs w:val="20"/>
                <w:color w:val="auto"/>
              </w:rPr>
            </w:pPr>
            <w:r>
              <w:rPr>
                <w:rFonts w:ascii="Times New Roman" w:cs="Times New Roman" w:eastAsia="Times New Roman" w:hAnsi="Times New Roman"/>
                <w:sz w:val="12"/>
                <w:szCs w:val="12"/>
                <w:color w:val="0000FF"/>
              </w:rPr>
              <w:t>06/03/2026</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0000FF"/>
              </w:rPr>
              <w:t>A</w:t>
            </w:r>
          </w:p>
        </w:tc>
        <w:tc>
          <w:tcPr>
            <w:tcW w:w="380" w:type="dxa"/>
            <w:vAlign w:val="bottom"/>
          </w:tcPr>
          <w:p>
            <w:pPr>
              <w:spacing w:after="0"/>
              <w:rPr>
                <w:sz w:val="16"/>
                <w:szCs w:val="16"/>
                <w:color w:val="auto"/>
              </w:rPr>
            </w:pPr>
          </w:p>
        </w:tc>
        <w:tc>
          <w:tcPr>
            <w:tcW w:w="62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2"/>
                <w:szCs w:val="12"/>
                <w:color w:val="0000FF"/>
              </w:rPr>
              <w:t>19,226</w:t>
            </w:r>
            <w:r>
              <w:rPr>
                <w:rFonts w:ascii="Times New Roman" w:cs="Times New Roman" w:eastAsia="Times New Roman" w:hAnsi="Times New Roman"/>
                <w:sz w:val="19"/>
                <w:szCs w:val="19"/>
                <w:color w:val="008000"/>
                <w:vertAlign w:val="superscript"/>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0"/>
                <w:szCs w:val="10"/>
                <w:color w:val="008000"/>
              </w:rPr>
              <w:t>(10)</w:t>
            </w:r>
          </w:p>
        </w:tc>
        <w:tc>
          <w:tcPr>
            <w:tcW w:w="820" w:type="dxa"/>
            <w:vAlign w:val="bottom"/>
          </w:tcPr>
          <w:p>
            <w:pPr>
              <w:ind w:left="240"/>
              <w:spacing w:after="0"/>
              <w:rPr>
                <w:sz w:val="20"/>
                <w:szCs w:val="20"/>
                <w:color w:val="auto"/>
              </w:rPr>
            </w:pPr>
            <w:r>
              <w:rPr>
                <w:rFonts w:ascii="Times New Roman" w:cs="Times New Roman" w:eastAsia="Times New Roman" w:hAnsi="Times New Roman"/>
                <w:sz w:val="12"/>
                <w:szCs w:val="12"/>
                <w:color w:val="0000FF"/>
              </w:rPr>
              <w:t>06/03/2036</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0000FF"/>
              </w:rPr>
              <w:t>Common</w:t>
            </w: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19,226</w:t>
            </w:r>
          </w:p>
        </w:tc>
        <w:tc>
          <w:tcPr>
            <w:tcW w:w="66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24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19,226</w:t>
            </w:r>
          </w:p>
        </w:tc>
        <w:tc>
          <w:tcPr>
            <w:tcW w:w="320" w:type="dxa"/>
            <w:vAlign w:val="bottom"/>
          </w:tcPr>
          <w:p>
            <w:pPr>
              <w:ind w:left="280"/>
              <w:spacing w:after="0"/>
              <w:rPr>
                <w:sz w:val="20"/>
                <w:szCs w:val="20"/>
                <w:color w:val="auto"/>
              </w:rPr>
            </w:pPr>
            <w:r>
              <w:rPr>
                <w:rFonts w:ascii="Times New Roman" w:cs="Times New Roman" w:eastAsia="Times New Roman" w:hAnsi="Times New Roman"/>
                <w:sz w:val="8"/>
                <w:szCs w:val="8"/>
                <w:color w:val="0000FF"/>
                <w:w w:val="73"/>
              </w:rPr>
              <w:t>I</w:t>
            </w:r>
          </w:p>
        </w:tc>
        <w:tc>
          <w:tcPr>
            <w:tcW w:w="1520" w:type="dxa"/>
            <w:vAlign w:val="bottom"/>
            <w:vMerge w:val="continue"/>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640" w:type="dxa"/>
            <w:vAlign w:val="bottom"/>
            <w:gridSpan w:val="3"/>
          </w:tcPr>
          <w:p>
            <w:pPr>
              <w:ind w:left="60"/>
              <w:spacing w:after="0" w:line="73" w:lineRule="exact"/>
              <w:rPr>
                <w:sz w:val="20"/>
                <w:szCs w:val="20"/>
                <w:color w:val="auto"/>
              </w:rPr>
            </w:pPr>
            <w:r>
              <w:rPr>
                <w:rFonts w:ascii="Times New Roman" w:cs="Times New Roman" w:eastAsia="Times New Roman" w:hAnsi="Times New Roman"/>
                <w:sz w:val="8"/>
                <w:szCs w:val="8"/>
                <w:color w:val="0000FF"/>
              </w:rPr>
              <w:t>Option</w:t>
            </w: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ind w:left="180"/>
              <w:spacing w:after="0" w:line="73" w:lineRule="exact"/>
              <w:rPr>
                <w:sz w:val="20"/>
                <w:szCs w:val="20"/>
                <w:color w:val="auto"/>
              </w:rPr>
            </w:pPr>
            <w:r>
              <w:rPr>
                <w:rFonts w:ascii="Times New Roman" w:cs="Times New Roman" w:eastAsia="Times New Roman" w:hAnsi="Times New Roman"/>
                <w:sz w:val="8"/>
                <w:szCs w:val="8"/>
                <w:color w:val="0000FF"/>
              </w:rPr>
              <w:t>Stock</w:t>
            </w: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20" w:type="dxa"/>
            <w:vAlign w:val="bottom"/>
          </w:tcPr>
          <w:p>
            <w:pPr>
              <w:ind w:left="380"/>
              <w:spacing w:after="0" w:line="73" w:lineRule="exact"/>
              <w:rPr>
                <w:sz w:val="20"/>
                <w:szCs w:val="20"/>
                <w:color w:val="auto"/>
              </w:rPr>
            </w:pPr>
            <w:r>
              <w:rPr>
                <w:rFonts w:ascii="Times New Roman" w:cs="Times New Roman" w:eastAsia="Times New Roman" w:hAnsi="Times New Roman"/>
                <w:sz w:val="7"/>
                <w:szCs w:val="7"/>
                <w:color w:val="008000"/>
              </w:rPr>
              <w:t>(7)(9)</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64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(right to</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20" w:type="dxa"/>
            <w:vAlign w:val="bottom"/>
            <w:tcBorders>
              <w:bottom w:val="single" w:sz="8" w:color="2C2C2C"/>
            </w:tcBorders>
            <w:gridSpan w:val="2"/>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162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400" w:type="dxa"/>
            <w:vAlign w:val="bottom"/>
            <w:gridSpan w:val="6"/>
          </w:tcPr>
          <w:p>
            <w:pPr>
              <w:ind w:left="60"/>
              <w:spacing w:after="0" w:line="211"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gridSpan w:val="6"/>
          </w:tcPr>
          <w:p>
            <w:pPr>
              <w:spacing w:after="0" w:line="205"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BAKER BROS. ADVISORS LP</w:t>
              </w:r>
            </w:hyperlink>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(Last)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2"/>
                <w:szCs w:val="12"/>
                <w:color w:val="auto"/>
              </w:rPr>
              <w:t>(First)</w:t>
            </w:r>
          </w:p>
        </w:tc>
        <w:tc>
          <w:tcPr>
            <w:tcW w:w="24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w w:val="96"/>
              </w:rPr>
              <w:t>(Middle)</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860 WASHINGTON STREET, 3RD FLOOR</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20" w:type="dxa"/>
            <w:vAlign w:val="bottom"/>
            <w:gridSpan w:val="2"/>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0000FF"/>
              </w:rPr>
              <w:t>10014</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(City)</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2"/>
                <w:szCs w:val="12"/>
                <w:color w:val="auto"/>
              </w:rPr>
              <w:t>(State)</w:t>
            </w:r>
          </w:p>
        </w:tc>
        <w:tc>
          <w:tcPr>
            <w:tcW w:w="24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20" w:type="dxa"/>
            <w:vAlign w:val="bottom"/>
            <w:tcBorders>
              <w:bottom w:val="single" w:sz="8" w:color="2C2C2C"/>
            </w:tcBorders>
            <w:gridSpan w:val="2"/>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162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40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spacing w:after="0" w:line="205" w:lineRule="exact"/>
              <w:rPr>
                <w:rFonts w:ascii="Times New Roman" w:cs="Times New Roman" w:eastAsia="Times New Roman" w:hAnsi="Times New Roman"/>
                <w:sz w:val="19"/>
                <w:szCs w:val="19"/>
                <w:color w:val="0000EE"/>
              </w:rPr>
            </w:pPr>
            <w:hyperlink r:id="rId15">
              <w:r>
                <w:rPr>
                  <w:rFonts w:ascii="Times New Roman" w:cs="Times New Roman" w:eastAsia="Times New Roman" w:hAnsi="Times New Roman"/>
                  <w:sz w:val="19"/>
                  <w:szCs w:val="19"/>
                  <w:color w:val="0000EE"/>
                </w:rPr>
                <w:t>667, L.P.</w:t>
              </w:r>
            </w:hyperlink>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(Last)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2"/>
                <w:szCs w:val="12"/>
                <w:color w:val="auto"/>
              </w:rPr>
              <w:t>(First)</w:t>
            </w:r>
          </w:p>
        </w:tc>
        <w:tc>
          <w:tcPr>
            <w:tcW w:w="24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w w:val="96"/>
              </w:rPr>
              <w:t>(Middle)</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860 WASHINGTON STREET, 3RD FLOOR</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20" w:type="dxa"/>
            <w:vAlign w:val="bottom"/>
            <w:gridSpan w:val="2"/>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0000FF"/>
              </w:rPr>
              <w:t>10014</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(City)</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2"/>
                <w:szCs w:val="12"/>
                <w:color w:val="auto"/>
              </w:rPr>
              <w:t>(State)</w:t>
            </w:r>
          </w:p>
        </w:tc>
        <w:tc>
          <w:tcPr>
            <w:tcW w:w="24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-5474970</wp:posOffset>
            </wp:positionV>
            <wp:extent cx="27940" cy="255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40" cy="2554605"/>
                    </a:xfrm>
                    <a:prstGeom prst="rect">
                      <a:avLst/>
                    </a:prstGeom>
                    <a:noFill/>
                  </pic:spPr>
                </pic:pic>
              </a:graphicData>
            </a:graphic>
          </wp:anchor>
        </w:drawing>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sectPr>
          <w:pgSz w:w="11900" w:h="16838" w:orient="portrait"/>
          <w:cols w:equalWidth="0" w:num="1">
            <w:col w:w="11080"/>
          </w:cols>
          <w:pgMar w:left="460" w:top="210" w:right="359" w:bottom="0" w:gutter="0" w:footer="0" w:header="0"/>
          <w:type w:val="continuous"/>
        </w:sectPr>
      </w:pPr>
    </w:p>
    <w:p>
      <w:pPr>
        <w:ind w:left="100"/>
        <w:spacing w:after="0"/>
        <w:rPr>
          <w:rFonts w:ascii="Times New Roman" w:cs="Times New Roman" w:eastAsia="Times New Roman" w:hAnsi="Times New Roman"/>
          <w:sz w:val="19"/>
          <w:szCs w:val="19"/>
          <w:u w:val="single" w:color="auto"/>
          <w:color w:val="0000EE"/>
        </w:rPr>
      </w:pPr>
      <w:hyperlink r:id="rId17">
        <w:r>
          <w:rPr>
            <w:rFonts w:ascii="Times New Roman" w:cs="Times New Roman" w:eastAsia="Times New Roman" w:hAnsi="Times New Roman"/>
            <w:sz w:val="19"/>
            <w:szCs w:val="19"/>
            <w:u w:val="single" w:color="auto"/>
            <w:color w:val="0000EE"/>
          </w:rPr>
          <w:t>Baker Bros. Advisors (GP) LLC</w:t>
        </w:r>
      </w:hyperlink>
    </w:p>
    <w:p>
      <w:pPr>
        <w:sectPr>
          <w:pgSz w:w="11900" w:h="16838" w:orient="portrait"/>
          <w:cols w:equalWidth="0" w:num="1">
            <w:col w:w="11080"/>
          </w:cols>
          <w:pgMar w:left="460" w:top="210"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100" w:type="dxa"/>
            <w:vAlign w:val="bottom"/>
          </w:tcPr>
          <w:p>
            <w:pPr>
              <w:spacing w:after="0"/>
              <w:rPr>
                <w:sz w:val="13"/>
                <w:szCs w:val="13"/>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48"/>
        </w:trPr>
        <w:tc>
          <w:tcPr>
            <w:tcW w:w="100" w:type="dxa"/>
            <w:vAlign w:val="bottom"/>
          </w:tcPr>
          <w:p>
            <w:pPr>
              <w:spacing w:after="0"/>
              <w:rPr>
                <w:sz w:val="21"/>
                <w:szCs w:val="21"/>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860 WASHINGTON STREET, 3RD FLOOR</w:t>
            </w:r>
          </w:p>
        </w:tc>
      </w:tr>
      <w:tr>
        <w:trPr>
          <w:trHeight w:val="186"/>
        </w:trPr>
        <w:tc>
          <w:tcPr>
            <w:tcW w:w="100" w:type="dxa"/>
            <w:vAlign w:val="bottom"/>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2"/>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10014</w:t>
            </w:r>
          </w:p>
        </w:tc>
        <w:tc>
          <w:tcPr>
            <w:tcW w:w="100" w:type="dxa"/>
            <w:vAlign w:val="bottom"/>
          </w:tcPr>
          <w:p>
            <w:pPr>
              <w:spacing w:after="0"/>
              <w:rPr>
                <w:sz w:val="18"/>
                <w:szCs w:val="18"/>
                <w:color w:val="auto"/>
              </w:rPr>
            </w:pPr>
          </w:p>
        </w:tc>
      </w:tr>
      <w:tr>
        <w:trPr>
          <w:trHeight w:val="138"/>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4"/>
        </w:trPr>
        <w:tc>
          <w:tcPr>
            <w:tcW w:w="1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7"/>
        </w:trPr>
        <w:tc>
          <w:tcPr>
            <w:tcW w:w="27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100" w:type="dxa"/>
            <w:vAlign w:val="bottom"/>
          </w:tcPr>
          <w:p>
            <w:pPr>
              <w:spacing w:after="0"/>
              <w:rPr>
                <w:sz w:val="17"/>
                <w:szCs w:val="17"/>
                <w:color w:val="auto"/>
              </w:rPr>
            </w:pPr>
          </w:p>
        </w:tc>
        <w:tc>
          <w:tcPr>
            <w:tcW w:w="2680" w:type="dxa"/>
            <w:vAlign w:val="bottom"/>
            <w:gridSpan w:val="4"/>
          </w:tcPr>
          <w:p>
            <w:pPr>
              <w:spacing w:after="0" w:line="205" w:lineRule="exact"/>
              <w:rPr>
                <w:rFonts w:ascii="Times New Roman" w:cs="Times New Roman" w:eastAsia="Times New Roman" w:hAnsi="Times New Roman"/>
                <w:sz w:val="19"/>
                <w:szCs w:val="19"/>
                <w:color w:val="0000EE"/>
              </w:rPr>
            </w:pPr>
            <w:hyperlink r:id="rId18">
              <w:r>
                <w:rPr>
                  <w:rFonts w:ascii="Times New Roman" w:cs="Times New Roman" w:eastAsia="Times New Roman" w:hAnsi="Times New Roman"/>
                  <w:sz w:val="19"/>
                  <w:szCs w:val="19"/>
                  <w:color w:val="0000EE"/>
                </w:rPr>
                <w:t>Baker Brothers Life Sciences LP</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2"/>
        </w:trPr>
        <w:tc>
          <w:tcPr>
            <w:tcW w:w="100" w:type="dxa"/>
            <w:vAlign w:val="bottom"/>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16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48"/>
        </w:trPr>
        <w:tc>
          <w:tcPr>
            <w:tcW w:w="100" w:type="dxa"/>
            <w:vAlign w:val="bottom"/>
          </w:tcPr>
          <w:p>
            <w:pPr>
              <w:spacing w:after="0"/>
              <w:rPr>
                <w:sz w:val="21"/>
                <w:szCs w:val="21"/>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860 WASHINGTON STREET, 3RD FLOOR</w:t>
            </w:r>
          </w:p>
        </w:tc>
      </w:tr>
      <w:tr>
        <w:trPr>
          <w:trHeight w:val="186"/>
        </w:trPr>
        <w:tc>
          <w:tcPr>
            <w:tcW w:w="100" w:type="dxa"/>
            <w:vAlign w:val="bottom"/>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2"/>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10014</w:t>
            </w:r>
          </w:p>
        </w:tc>
        <w:tc>
          <w:tcPr>
            <w:tcW w:w="100" w:type="dxa"/>
            <w:vAlign w:val="bottom"/>
          </w:tcPr>
          <w:p>
            <w:pPr>
              <w:spacing w:after="0"/>
              <w:rPr>
                <w:sz w:val="18"/>
                <w:szCs w:val="18"/>
                <w:color w:val="auto"/>
              </w:rPr>
            </w:pPr>
          </w:p>
        </w:tc>
      </w:tr>
      <w:tr>
        <w:trPr>
          <w:trHeight w:val="138"/>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4"/>
        </w:trPr>
        <w:tc>
          <w:tcPr>
            <w:tcW w:w="1340" w:type="dxa"/>
            <w:vAlign w:val="bottom"/>
            <w:tcBorders>
              <w:bottom w:val="single" w:sz="8" w:color="2C2C2C"/>
            </w:tcBorders>
            <w:gridSpan w:val="2"/>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7"/>
        </w:trPr>
        <w:tc>
          <w:tcPr>
            <w:tcW w:w="27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100" w:type="dxa"/>
            <w:vAlign w:val="bottom"/>
          </w:tcPr>
          <w:p>
            <w:pPr>
              <w:spacing w:after="0"/>
              <w:rPr>
                <w:sz w:val="17"/>
                <w:szCs w:val="17"/>
                <w:color w:val="auto"/>
              </w:rPr>
            </w:pPr>
          </w:p>
        </w:tc>
        <w:tc>
          <w:tcPr>
            <w:tcW w:w="1380" w:type="dxa"/>
            <w:vAlign w:val="bottom"/>
            <w:gridSpan w:val="2"/>
          </w:tcPr>
          <w:p>
            <w:pPr>
              <w:spacing w:after="0" w:line="205" w:lineRule="exact"/>
              <w:rPr>
                <w:rFonts w:ascii="Times New Roman" w:cs="Times New Roman" w:eastAsia="Times New Roman" w:hAnsi="Times New Roman"/>
                <w:sz w:val="19"/>
                <w:szCs w:val="19"/>
                <w:color w:val="0000EE"/>
              </w:rPr>
            </w:pPr>
            <w:hyperlink r:id="rId19">
              <w:r>
                <w:rPr>
                  <w:rFonts w:ascii="Times New Roman" w:cs="Times New Roman" w:eastAsia="Times New Roman" w:hAnsi="Times New Roman"/>
                  <w:sz w:val="19"/>
                  <w:szCs w:val="19"/>
                  <w:color w:val="0000EE"/>
                </w:rPr>
                <w:t>BAKER FELIX</w:t>
              </w:r>
            </w:hyperlink>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2"/>
        </w:trPr>
        <w:tc>
          <w:tcPr>
            <w:tcW w:w="100" w:type="dxa"/>
            <w:vAlign w:val="bottom"/>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48"/>
        </w:trPr>
        <w:tc>
          <w:tcPr>
            <w:tcW w:w="100" w:type="dxa"/>
            <w:vAlign w:val="bottom"/>
          </w:tcPr>
          <w:p>
            <w:pPr>
              <w:spacing w:after="0"/>
              <w:rPr>
                <w:sz w:val="21"/>
                <w:szCs w:val="21"/>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860 WASHINGTON STREET, 3RD FLOOR</w:t>
            </w:r>
          </w:p>
        </w:tc>
      </w:tr>
      <w:tr>
        <w:trPr>
          <w:trHeight w:val="186"/>
        </w:trPr>
        <w:tc>
          <w:tcPr>
            <w:tcW w:w="100" w:type="dxa"/>
            <w:vAlign w:val="bottom"/>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2"/>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10014</w:t>
            </w:r>
          </w:p>
        </w:tc>
        <w:tc>
          <w:tcPr>
            <w:tcW w:w="100" w:type="dxa"/>
            <w:vAlign w:val="bottom"/>
          </w:tcPr>
          <w:p>
            <w:pPr>
              <w:spacing w:after="0"/>
              <w:rPr>
                <w:sz w:val="18"/>
                <w:szCs w:val="18"/>
                <w:color w:val="auto"/>
              </w:rPr>
            </w:pPr>
          </w:p>
        </w:tc>
      </w:tr>
      <w:tr>
        <w:trPr>
          <w:trHeight w:val="138"/>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4"/>
        </w:trPr>
        <w:tc>
          <w:tcPr>
            <w:tcW w:w="1340" w:type="dxa"/>
            <w:vAlign w:val="bottom"/>
            <w:tcBorders>
              <w:bottom w:val="single" w:sz="8" w:color="2C2C2C"/>
            </w:tcBorders>
            <w:gridSpan w:val="2"/>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7"/>
        </w:trPr>
        <w:tc>
          <w:tcPr>
            <w:tcW w:w="27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100" w:type="dxa"/>
            <w:vAlign w:val="bottom"/>
          </w:tcPr>
          <w:p>
            <w:pPr>
              <w:spacing w:after="0"/>
              <w:rPr>
                <w:sz w:val="17"/>
                <w:szCs w:val="17"/>
                <w:color w:val="auto"/>
              </w:rPr>
            </w:pPr>
          </w:p>
        </w:tc>
        <w:tc>
          <w:tcPr>
            <w:tcW w:w="1380" w:type="dxa"/>
            <w:vAlign w:val="bottom"/>
            <w:tcBorders>
              <w:bottom w:val="single" w:sz="8" w:color="0000EE"/>
            </w:tcBorders>
            <w:gridSpan w:val="2"/>
          </w:tcPr>
          <w:p>
            <w:pPr>
              <w:spacing w:after="0" w:line="205" w:lineRule="exact"/>
              <w:rPr>
                <w:rFonts w:ascii="Times New Roman" w:cs="Times New Roman" w:eastAsia="Times New Roman" w:hAnsi="Times New Roman"/>
                <w:sz w:val="19"/>
                <w:szCs w:val="19"/>
                <w:color w:val="0000EE"/>
              </w:rPr>
            </w:pPr>
            <w:hyperlink r:id="rId20">
              <w:r>
                <w:rPr>
                  <w:rFonts w:ascii="Times New Roman" w:cs="Times New Roman" w:eastAsia="Times New Roman" w:hAnsi="Times New Roman"/>
                  <w:sz w:val="19"/>
                  <w:szCs w:val="19"/>
                  <w:color w:val="0000EE"/>
                </w:rPr>
                <w:t>BAKER JULIAN</w:t>
              </w:r>
            </w:hyperlink>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2"/>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48"/>
        </w:trPr>
        <w:tc>
          <w:tcPr>
            <w:tcW w:w="100" w:type="dxa"/>
            <w:vAlign w:val="bottom"/>
          </w:tcPr>
          <w:p>
            <w:pPr>
              <w:spacing w:after="0"/>
              <w:rPr>
                <w:sz w:val="21"/>
                <w:szCs w:val="21"/>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860 WASHINGTON STREET, 3RD FLOOR</w:t>
            </w:r>
          </w:p>
        </w:tc>
      </w:tr>
      <w:tr>
        <w:trPr>
          <w:trHeight w:val="186"/>
        </w:trPr>
        <w:tc>
          <w:tcPr>
            <w:tcW w:w="100" w:type="dxa"/>
            <w:vAlign w:val="bottom"/>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2"/>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10014</w:t>
            </w:r>
          </w:p>
        </w:tc>
        <w:tc>
          <w:tcPr>
            <w:tcW w:w="100" w:type="dxa"/>
            <w:vAlign w:val="bottom"/>
          </w:tcPr>
          <w:p>
            <w:pPr>
              <w:spacing w:after="0"/>
              <w:rPr>
                <w:sz w:val="18"/>
                <w:szCs w:val="18"/>
                <w:color w:val="auto"/>
              </w:rPr>
            </w:pPr>
          </w:p>
        </w:tc>
      </w:tr>
      <w:tr>
        <w:trPr>
          <w:trHeight w:val="138"/>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2813050" cy="5489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13050" cy="5489575"/>
                    </a:xfrm>
                    <a:prstGeom prst="rect">
                      <a:avLst/>
                    </a:prstGeom>
                    <a:noFill/>
                  </pic:spPr>
                </pic:pic>
              </a:graphicData>
            </a:graphic>
          </wp:anchor>
        </w:drawing>
      </w: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ind w:left="40" w:right="100" w:hanging="8"/>
        <w:spacing w:after="0" w:line="239"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6,408 restricted stock units (each, an "RSU") payable solely in common stock ("Common Stock") of Denali Therapeutics Inc. (the "Issuer") granted by the Issuer to Julian C. Baker, a managing member of Baker Bros. Advisors (GP) LLC (the "Adviser GP") on June 3, 2026, pursuant to the Issuer's 2017 Equity Incentive Plan and Outside Director Compensation Policy (collectively the "Incentive Plan"). The RSUs vest on the earlier of June 3, 2027 or the day prior to the Issuer's Annual Meeting occurring after June 3, 2026, subject to Julian C. Baker's continuous service on the board of directors of the Issuer (the "Board") through such vesting date. Julian C. Baker serves on the Board as a representative of 667, L.P. ("667") and Baker Brothers Life Sciences, L.P. ("Life Sciences", and together with 667, the "Funds") and their affiliates and control persons.</w:t>
      </w:r>
    </w:p>
    <w:p>
      <w:pPr>
        <w:spacing w:after="0" w:line="26" w:lineRule="exact"/>
        <w:rPr>
          <w:rFonts w:ascii="Times New Roman" w:cs="Times New Roman" w:eastAsia="Times New Roman" w:hAnsi="Times New Roman"/>
          <w:sz w:val="12"/>
          <w:szCs w:val="12"/>
          <w:color w:val="008000"/>
        </w:rPr>
      </w:pPr>
    </w:p>
    <w:p>
      <w:pPr>
        <w:ind w:left="40" w:right="160" w:hanging="8"/>
        <w:spacing w:after="0" w:line="239"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After giving effect to the transactions reported herein and as a result of their ownership interest in (i) Baker Biotech Capital, L.P. and (ii) 667, Julian C. Baker and Felix J. Baker each may be deemed to have an indirect pecuniary interest in Common Stock reported in column 5 of Table I and the Stock Options (as defined below) reported in column 9 of Table II held directly by or held for the benefit of 667, a limited partnership of which the sole general partner is Baker Biotech Capital, L.P., a limited partnership of which the sole general partner is Baker Biotech Capital (GP), LLC, due to their interest in 667 and Baker Biotech Capital, L.P.'s right to receive an allocation of a portion of the profits from 667.</w:t>
      </w:r>
    </w:p>
    <w:p>
      <w:pPr>
        <w:spacing w:after="0" w:line="26" w:lineRule="exact"/>
        <w:rPr>
          <w:rFonts w:ascii="Times New Roman" w:cs="Times New Roman" w:eastAsia="Times New Roman" w:hAnsi="Times New Roman"/>
          <w:sz w:val="12"/>
          <w:szCs w:val="12"/>
          <w:color w:val="008000"/>
        </w:rPr>
      </w:pPr>
    </w:p>
    <w:p>
      <w:pPr>
        <w:ind w:left="40" w:hanging="8"/>
        <w:spacing w:after="0" w:line="239"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policies of the Adviser, Julian C. Baker does not have a right to any of the Issuer's securities issued as compensation for his service on the Board and the Funds are entitled to an indirect proportionate pecuniary interest in such securities. The Funds each own an indirect proportionate pecuniary interest in the non-qualified stock options exercisable solely into Common Stock ("Stock Options") and RSUs. Solely as a result of their ownership interest in (i) the general partners of the Funds and (ii) the Funds, Felix J. Baker and Julian C. Baker may be deemed to have an indirect pecuniary interest in the Stock Options, RSUs and any Common Stock acquired upon the exercise of Stock Options or vesting of RSUs (i.e. no direct pecuniary interest) issued as compensation for such Board Service.</w:t>
      </w:r>
    </w:p>
    <w:p>
      <w:pPr>
        <w:spacing w:after="0" w:line="26" w:lineRule="exact"/>
        <w:rPr>
          <w:rFonts w:ascii="Times New Roman" w:cs="Times New Roman" w:eastAsia="Times New Roman" w:hAnsi="Times New Roman"/>
          <w:sz w:val="12"/>
          <w:szCs w:val="12"/>
          <w:color w:val="008000"/>
        </w:rPr>
      </w:pPr>
    </w:p>
    <w:p>
      <w:pPr>
        <w:ind w:left="40" w:right="120" w:hanging="8"/>
        <w:spacing w:after="0" w:line="239"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Baker Bros. Advisors LP (the "Adviser") serves as the investment adviser to the Funds. In connection with the services provided by the Adviser, the Adviser receives an asset-based management fee that does not confer any pecuniary interest in the securities held directly by the Funds or for the benefit of the Funds. The Adviser GP is the Adviser's sole general partner. Julian C. Baker and Felix J. Baker are managing members of the Adviser GP. The Adviser has complete and unlimited discretion and authority with respect to the investment and voting power of the securities held directly by the Funds or for the benefit of the Funds. The general partners of the Funds relinquished to the Adviser all discretion and authority with respect to the investment and voting power of the securities held directly by the Funds or for the benefit of the Funds.</w:t>
      </w:r>
    </w:p>
    <w:p>
      <w:pPr>
        <w:spacing w:after="0" w:line="26" w:lineRule="exact"/>
        <w:rPr>
          <w:rFonts w:ascii="Times New Roman" w:cs="Times New Roman" w:eastAsia="Times New Roman" w:hAnsi="Times New Roman"/>
          <w:sz w:val="12"/>
          <w:szCs w:val="12"/>
          <w:color w:val="008000"/>
        </w:rPr>
      </w:pPr>
    </w:p>
    <w:p>
      <w:pPr>
        <w:ind w:left="40" w:right="160" w:hanging="8"/>
        <w:spacing w:after="0" w:line="258"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Julian C. Baker, Felix J. Baker, the Adviser GP and the Adviser disclaim beneficial ownership of the securities held directly by or held for the benefit of the Funds except to the extent of their pecuniary interest therein, and this report shall not be deemed an admission that any of Julian C. Baker, Felix J. Baker, the Adviser GP or the Adviser is a beneficial owner of such securities for purposes of Section 16 or any other purpose.</w:t>
      </w:r>
    </w:p>
    <w:p>
      <w:pPr>
        <w:spacing w:after="0" w:line="15"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policies of the Adviser, the Adviser has voting and dispositive power over the Stock Options, RSUs and any Common Stock received as a result of the exercise of Stock Options or vesting of RSUs.</w:t>
      </w:r>
    </w:p>
    <w:p>
      <w:pPr>
        <w:spacing w:after="0" w:line="41" w:lineRule="exact"/>
        <w:rPr>
          <w:rFonts w:ascii="Times New Roman" w:cs="Times New Roman" w:eastAsia="Times New Roman" w:hAnsi="Times New Roman"/>
          <w:sz w:val="12"/>
          <w:szCs w:val="12"/>
          <w:color w:val="008000"/>
        </w:rPr>
      </w:pPr>
    </w:p>
    <w:p>
      <w:pPr>
        <w:ind w:left="40" w:right="20" w:hanging="8"/>
        <w:spacing w:after="0" w:line="258"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acquisitions of the RSUs and Stock Options reported on this form represent a single grant to Julian C. Baker of 6,408 RSUs on Table I and 19,226 Stock Options on Table II. These grants, totaling 6,408 RSUs and 19,226 Stock Options for Julian C. Baker, are reported for each of the Funds as each has an indirect pecuniary interest in such securities.</w:t>
      </w:r>
    </w:p>
    <w:p>
      <w:pPr>
        <w:spacing w:after="0" w:line="15" w:lineRule="exact"/>
        <w:rPr>
          <w:rFonts w:ascii="Times New Roman" w:cs="Times New Roman" w:eastAsia="Times New Roman" w:hAnsi="Times New Roman"/>
          <w:sz w:val="12"/>
          <w:szCs w:val="12"/>
          <w:color w:val="008000"/>
        </w:rPr>
      </w:pPr>
    </w:p>
    <w:p>
      <w:pPr>
        <w:ind w:left="40" w:right="100" w:hanging="8"/>
        <w:spacing w:after="0" w:line="258"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beneficial ownership of 2,641 shares of Common Stock received previously from vested RSUs and 7,924 shares of Common Stock underlying unvested RSUs that were issued to Julian C. Baker in his capacity as a director of the Issuer, each of which the Funds are deemed to own a portion.</w:t>
      </w:r>
    </w:p>
    <w:p>
      <w:pPr>
        <w:spacing w:after="0" w:line="15" w:lineRule="exact"/>
        <w:rPr>
          <w:rFonts w:ascii="Times New Roman" w:cs="Times New Roman" w:eastAsia="Times New Roman" w:hAnsi="Times New Roman"/>
          <w:sz w:val="12"/>
          <w:szCs w:val="12"/>
          <w:color w:val="008000"/>
        </w:rPr>
      </w:pPr>
    </w:p>
    <w:p>
      <w:pPr>
        <w:ind w:left="40" w:right="100" w:hanging="8"/>
        <w:spacing w:after="0" w:line="239"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After giving effect to the transactions reported herein and as a result of their ownership interest in (i) Baker Brothers Life Sciences Capital, L.P. and (ii) Life Sciences, Julian C. Baker and Felix J. Baker each may be deemed to have an indirect pecuniary interest in Common Stock reported in column 5 of Table I and the Stock Options reported in column 9 of Table II held directly by or held for the benefit of Life Sciences, a limited partnership of which the sole general partner is Baker Brothers Life Sciences Capital, L.P., a limited partnership of which the sole general partner is Baker Brothers Life Sciences Capital (GP), LLC, due to their interest in Life Sciences and Baker Brothers Life Sciences Capital, L.P.'s right to receive an allocation of a portion of the profits from Life Sciences.</w:t>
      </w:r>
    </w:p>
    <w:p>
      <w:pPr>
        <w:spacing w:after="0" w:line="26" w:lineRule="exact"/>
        <w:rPr>
          <w:rFonts w:ascii="Times New Roman" w:cs="Times New Roman" w:eastAsia="Times New Roman" w:hAnsi="Times New Roman"/>
          <w:sz w:val="12"/>
          <w:szCs w:val="12"/>
          <w:color w:val="008000"/>
        </w:rPr>
      </w:pPr>
    </w:p>
    <w:p>
      <w:pPr>
        <w:jc w:val="both"/>
        <w:ind w:left="40" w:right="60" w:hanging="8"/>
        <w:spacing w:after="0" w:line="244" w:lineRule="auto"/>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19,226 Stock Options exercisable solely into Common Stock were granted under the Incentive Plan to Julian C. Baker in his capacity as a director of the Issuer. The Stock Options have a strike price of $19.66 and expire on June 3, 2036. The Stock Options vest on the earlier of June 3, 2027 or the day prior to the Issuer's Annual Meeting occurring after June 3, 2026, subject to Julian C. Baker's continuous service on the Board through such vesting date.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46" w:lineRule="exact"/>
        <w:rPr>
          <w:sz w:val="20"/>
          <w:szCs w:val="20"/>
          <w:color w:val="auto"/>
        </w:rPr>
      </w:pPr>
    </w:p>
    <w:p>
      <w:pPr>
        <w:ind w:left="40" w:right="60"/>
        <w:spacing w:after="0" w:line="258" w:lineRule="auto"/>
        <w:rPr>
          <w:sz w:val="20"/>
          <w:szCs w:val="20"/>
          <w:color w:val="auto"/>
        </w:rPr>
      </w:pPr>
      <w:r>
        <w:rPr>
          <w:rFonts w:ascii="Times New Roman" w:cs="Times New Roman" w:eastAsia="Times New Roman" w:hAnsi="Times New Roman"/>
          <w:sz w:val="12"/>
          <w:szCs w:val="12"/>
          <w:color w:val="008000"/>
        </w:rPr>
        <w:t>Julian C. Baker, a managing member of Baker Bros. Advisors (GP) LLC is a director of Denali Therapeutics Inc. (the "Issuer"). By virtue of their representation on the board of directors of the Issuer, for purposes of Section 16 of the Securities Exchange Act of 1934, as amended, the reporting persons other than Julian C. Baker are deemed directors by deputization of the Issuer.</w:t>
      </w:r>
    </w:p>
    <w:p>
      <w:pPr>
        <w:sectPr>
          <w:pgSz w:w="11900" w:h="16838" w:orient="portrait"/>
          <w:cols w:equalWidth="0" w:num="1">
            <w:col w:w="10940"/>
          </w:cols>
          <w:pgMar w:left="460" w:top="151" w:right="499" w:bottom="0" w:gutter="0" w:footer="0" w:header="0"/>
        </w:sectPr>
      </w:pPr>
    </w:p>
    <w:p>
      <w:pPr>
        <w:spacing w:after="0" w:line="3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By: Baker Bros. Advisors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-8890</wp:posOffset>
            </wp:positionV>
            <wp:extent cx="11772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17729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Name: Scott L. Lessing,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-15875</wp:posOffset>
            </wp:positionV>
            <wp:extent cx="11957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19570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President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-15875</wp:posOffset>
            </wp:positionV>
            <wp:extent cx="115824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158240" cy="7620"/>
                    </a:xfrm>
                    <a:prstGeom prst="rect">
                      <a:avLst/>
                    </a:prstGeom>
                    <a:noFill/>
                  </pic:spPr>
                </pic:pic>
              </a:graphicData>
            </a:graphic>
          </wp:anchor>
        </w:drawing>
      </w:r>
    </w:p>
    <w:p>
      <w:pPr>
        <w:spacing w:after="0" w:line="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Baker Bros. Advisors LP, Mgmt.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-8890</wp:posOffset>
            </wp:positionV>
            <wp:extent cx="130111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0111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4"/>
          <w:szCs w:val="14"/>
          <w:color w:val="0000FF"/>
        </w:rPr>
        <w:t>Co. and Inv. Adviser to 667,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-1270</wp:posOffset>
            </wp:positionV>
            <wp:extent cx="132461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24610" cy="7620"/>
                    </a:xfrm>
                    <a:prstGeom prst="rect">
                      <a:avLst/>
                    </a:prstGeom>
                    <a:noFill/>
                  </pic:spPr>
                </pic:pic>
              </a:graphicData>
            </a:graphic>
          </wp:anchor>
        </w:drawing>
      </w:r>
    </w:p>
    <w:p>
      <w:pPr>
        <w:spacing w:after="0" w:line="1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pursuant to authority granted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-15875</wp:posOffset>
            </wp:positionV>
            <wp:extent cx="127063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7063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4"/>
          <w:szCs w:val="14"/>
          <w:color w:val="0000FF"/>
        </w:rPr>
        <w:t>Baker Biotech Capital, L.P., GP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-1270</wp:posOffset>
            </wp:positionV>
            <wp:extent cx="136144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61440" cy="7620"/>
                    </a:xfrm>
                    <a:prstGeom prst="rect">
                      <a:avLst/>
                    </a:prstGeom>
                    <a:noFill/>
                  </pic:spPr>
                </pic:pic>
              </a:graphicData>
            </a:graphic>
          </wp:anchor>
        </w:drawing>
      </w:r>
    </w:p>
    <w:p>
      <w:pPr>
        <w:spacing w:after="0" w:line="1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color w:val="0000FF"/>
        </w:rPr>
        <w:t>667, L.P. 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-1270</wp:posOffset>
            </wp:positionV>
            <wp:extent cx="133667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36675" cy="7620"/>
                    </a:xfrm>
                    <a:prstGeom prst="rect">
                      <a:avLst/>
                    </a:prstGeom>
                    <a:noFill/>
                  </pic:spPr>
                </pic:pic>
              </a:graphicData>
            </a:graphic>
          </wp:anchor>
        </w:drawing>
      </w:r>
    </w:p>
    <w:p>
      <w:pPr>
        <w:spacing w:after="0" w:line="1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Title: President /s/ Scott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-15875</wp:posOffset>
            </wp:positionV>
            <wp:extent cx="106108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06108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-15875</wp:posOffset>
            </wp:positionV>
            <wp:extent cx="30797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07975" cy="7620"/>
                    </a:xfrm>
                    <a:prstGeom prst="rect">
                      <a:avLst/>
                    </a:prstGeom>
                    <a:noFill/>
                  </pic:spPr>
                </pic:pic>
              </a:graphicData>
            </a:graphic>
          </wp:anchor>
        </w:drawing>
      </w:r>
    </w:p>
    <w:p>
      <w:pPr>
        <w:spacing w:after="0" w:line="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By: Baker Bros. Advisors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-8890</wp:posOffset>
            </wp:positionV>
            <wp:extent cx="124015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4015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LLC, 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-15875</wp:posOffset>
            </wp:positionV>
            <wp:extent cx="119634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963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085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4508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085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4508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085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450850" cy="7620"/>
                    </a:xfrm>
                    <a:prstGeom prst="rect">
                      <a:avLst/>
                    </a:prstGeom>
                    <a:noFill/>
                  </pic:spPr>
                </pic:pic>
              </a:graphicData>
            </a:graphic>
          </wp:anchor>
        </w:drawing>
      </w:r>
    </w:p>
    <w:p>
      <w:pPr>
        <w:sectPr>
          <w:pgSz w:w="11900" w:h="16838" w:orient="portrait"/>
          <w:cols w:equalWidth="0" w:num="2">
            <w:col w:w="8740" w:space="60"/>
            <w:col w:w="2140"/>
          </w:cols>
          <w:pgMar w:left="460" w:top="151" w:right="499" w:bottom="0" w:gutter="0" w:footer="0" w:header="0"/>
          <w:type w:val="continuous"/>
        </w:sectPr>
      </w:pPr>
    </w:p>
    <w:bookmarkStart w:id="2" w:name="page3"/>
    <w:bookmarkEnd w:id="2"/>
    <w:p>
      <w:pPr>
        <w:ind w:left="6568"/>
        <w:spacing w:after="0"/>
        <w:rPr>
          <w:sz w:val="20"/>
          <w:szCs w:val="20"/>
          <w:color w:val="auto"/>
        </w:rPr>
      </w:pPr>
      <w:r>
        <w:rPr>
          <w:rFonts w:ascii="Times New Roman" w:cs="Times New Roman" w:eastAsia="Times New Roman" w:hAnsi="Times New Roman"/>
          <w:sz w:val="16"/>
          <w:szCs w:val="16"/>
          <w:color w:val="0000FF"/>
        </w:rPr>
        <w:t>Title: President /s/ Scott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-8890</wp:posOffset>
            </wp:positionV>
            <wp:extent cx="106108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06108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-15875</wp:posOffset>
            </wp:positionV>
            <wp:extent cx="30797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307975" cy="7620"/>
                    </a:xfrm>
                    <a:prstGeom prst="rect">
                      <a:avLst/>
                    </a:prstGeom>
                    <a:noFill/>
                  </pic:spPr>
                </pic:pic>
              </a:graphicData>
            </a:graphic>
          </wp:anchor>
        </w:drawing>
      </w:r>
    </w:p>
    <w:p>
      <w:pPr>
        <w:spacing w:after="0" w:line="25"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4"/>
          <w:szCs w:val="14"/>
          <w:color w:val="0000FF"/>
        </w:rPr>
        <w:t>Baker Bros. Advisors LP, Mgmt.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5080</wp:posOffset>
            </wp:positionV>
            <wp:extent cx="130111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01115" cy="7620"/>
                    </a:xfrm>
                    <a:prstGeom prst="rect">
                      <a:avLst/>
                    </a:prstGeom>
                    <a:noFill/>
                  </pic:spPr>
                </pic:pic>
              </a:graphicData>
            </a:graphic>
          </wp:anchor>
        </w:drawing>
      </w:r>
    </w:p>
    <w:p>
      <w:pPr>
        <w:spacing w:after="0" w:line="22"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Co. and Inv. Adviser to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-15875</wp:posOffset>
            </wp:positionV>
            <wp:extent cx="128333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8333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BROTHERS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-15875</wp:posOffset>
            </wp:positionV>
            <wp:extent cx="126809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6809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4"/>
          <w:szCs w:val="14"/>
          <w:color w:val="0000FF"/>
        </w:rPr>
        <w:t>L.P., pursuant to authority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-1270</wp:posOffset>
            </wp:positionV>
            <wp:extent cx="13500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50010" cy="7620"/>
                    </a:xfrm>
                    <a:prstGeom prst="rect">
                      <a:avLst/>
                    </a:prstGeom>
                    <a:noFill/>
                  </pic:spPr>
                </pic:pic>
              </a:graphicData>
            </a:graphic>
          </wp:anchor>
        </w:drawing>
      </w:r>
    </w:p>
    <w:p>
      <w:pPr>
        <w:spacing w:after="0" w:line="11"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by Baker Brothers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-15875</wp:posOffset>
            </wp:positionV>
            <wp:extent cx="128714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8714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Capital, L.P., GP to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-15875</wp:posOffset>
            </wp:positionV>
            <wp:extent cx="10287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02870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Brothers Life Sciences,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-15875</wp:posOffset>
            </wp:positionV>
            <wp:extent cx="12484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4841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Name: Scott L. Lessing,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-15875</wp:posOffset>
            </wp:positionV>
            <wp:extent cx="119570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19570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-15875</wp:posOffset>
            </wp:positionV>
            <wp:extent cx="3683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68300" cy="7620"/>
                    </a:xfrm>
                    <a:prstGeom prst="rect">
                      <a:avLst/>
                    </a:prstGeom>
                    <a:noFill/>
                  </pic:spPr>
                </pic:pic>
              </a:graphicData>
            </a:graphic>
          </wp:anchor>
        </w:drawing>
      </w:r>
    </w:p>
    <w:p>
      <w:pPr>
        <w:spacing w:after="0" w:line="25"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-8890</wp:posOffset>
            </wp:positionV>
            <wp:extent cx="67119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671195" cy="7620"/>
                    </a:xfrm>
                    <a:prstGeom prst="rect">
                      <a:avLst/>
                    </a:prstGeom>
                    <a:noFill/>
                  </pic:spPr>
                </pic:pic>
              </a:graphicData>
            </a:graphic>
          </wp:anchor>
        </w:drawing>
      </w:r>
    </w:p>
    <w:p>
      <w:pPr>
        <w:spacing w:after="0" w:line="36"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-8890</wp:posOffset>
            </wp:positionV>
            <wp:extent cx="73152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31520" cy="7620"/>
                    </a:xfrm>
                    <a:prstGeom prst="rect">
                      <a:avLst/>
                    </a:prstGeom>
                    <a:noFill/>
                  </pic:spPr>
                </pic:pic>
              </a:graphicData>
            </a:graphic>
          </wp:anchor>
        </w:drawing>
      </w:r>
    </w:p>
    <w:p>
      <w:pPr>
        <w:spacing w:after="0" w:line="36" w:lineRule="exact"/>
        <w:rPr>
          <w:sz w:val="20"/>
          <w:szCs w:val="20"/>
          <w:color w:val="auto"/>
        </w:rPr>
      </w:pPr>
    </w:p>
    <w:p>
      <w:pPr>
        <w:ind w:left="6568"/>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085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4508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085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450850" cy="762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085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450850" cy="762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2" w:lineRule="exact"/>
        <w:rPr>
          <w:sz w:val="20"/>
          <w:szCs w:val="20"/>
          <w:color w:val="auto"/>
        </w:rPr>
      </w:pPr>
    </w:p>
    <w:p>
      <w:pPr>
        <w:sectPr>
          <w:pgSz w:w="11900" w:h="16838" w:orient="portrait"/>
          <w:cols w:equalWidth="0" w:num="2">
            <w:col w:w="8688" w:space="80"/>
            <w:col w:w="1199"/>
          </w:cols>
          <w:pgMar w:left="492" w:top="127" w:right="1440" w:bottom="1440" w:gutter="0" w:footer="0" w:header="0"/>
        </w:sectPr>
      </w:pPr>
    </w:p>
    <w:p>
      <w:pPr>
        <w:ind w:left="8"/>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2" w:lineRule="exact"/>
        <w:rPr>
          <w:sz w:val="20"/>
          <w:szCs w:val="20"/>
          <w:color w:val="auto"/>
        </w:rPr>
      </w:pPr>
    </w:p>
    <w:p>
      <w:pPr>
        <w:jc w:val="both"/>
        <w:ind w:left="8" w:right="3039" w:hanging="8"/>
        <w:spacing w:after="0" w:line="341" w:lineRule="auto"/>
        <w:tabs>
          <w:tab w:leader="none" w:pos="135"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8"/>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7"/>
      </w:cols>
      <w:pgMar w:left="492"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13" Type="http://schemas.openxmlformats.org/officeDocument/2006/relationships/hyperlink" Target="http://www.sec.gov/cgi-bin/browse-edgar?action=getcompany&amp;CIK=0001263508" TargetMode="External"/><Relationship Id="rId14" Type="http://schemas.openxmlformats.org/officeDocument/2006/relationships/hyperlink" Target="http://www.sec.gov/cgi-bin/browse-edgar?action=getcompany&amp;CIK=0001714899" TargetMode="External"/><Relationship Id="rId15" Type="http://schemas.openxmlformats.org/officeDocument/2006/relationships/hyperlink" Target="http://www.sec.gov/cgi-bin/browse-edgar?action=getcompany&amp;CIK=0001551139" TargetMode="External"/><Relationship Id="rId17" Type="http://schemas.openxmlformats.org/officeDocument/2006/relationships/hyperlink" Target="http://www.sec.gov/cgi-bin/browse-edgar?action=getcompany&amp;CIK=0001580575" TargetMode="External"/><Relationship Id="rId18" Type="http://schemas.openxmlformats.org/officeDocument/2006/relationships/hyperlink" Target="http://www.sec.gov/cgi-bin/browse-edgar?action=getcompany&amp;CIK=0001363364" TargetMode="External"/><Relationship Id="rId19" Type="http://schemas.openxmlformats.org/officeDocument/2006/relationships/hyperlink" Target="http://www.sec.gov/cgi-bin/browse-edgar?action=getcompany&amp;CIK=0001087940" TargetMode="External"/><Relationship Id="rId20" Type="http://schemas.openxmlformats.org/officeDocument/2006/relationships/hyperlink" Target="http://www.sec.gov/cgi-bin/browse-edgar?action=getcompany&amp;CIK=0001087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2026-06-05T15:37:48Z</dcterms:created>
  <dcterms:modified xsi:type="dcterms:W3CDTF">2026-06-05T15:37:48Z</dcterms:modified>
</cp:coreProperties>
</file>