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62230</wp:posOffset>
            </wp:positionV>
            <wp:extent cx="234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50165</wp:posOffset>
            </wp:positionV>
            <wp:extent cx="23488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Pursuant to Section 13 or 15(d)</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June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66040</wp:posOffset>
            </wp:positionV>
            <wp:extent cx="234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Denali Therapeutics Inc.</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23495</wp:posOffset>
            </wp:positionV>
            <wp:extent cx="234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60" w:lineRule="exact"/>
        <w:rPr>
          <w:sz w:val="24"/>
          <w:szCs w:val="24"/>
          <w:color w:val="auto"/>
        </w:rPr>
      </w:pPr>
    </w:p>
    <w:tbl>
      <w:tblPr>
        <w:tblLayout w:type="fixed"/>
        <w:tblInd w:w="760" w:type="dxa"/>
        <w:tblCellMar>
          <w:top w:w="0" w:type="dxa"/>
          <w:left w:w="0" w:type="dxa"/>
          <w:bottom w:w="0" w:type="dxa"/>
          <w:right w:w="0" w:type="dxa"/>
        </w:tblCellMar>
      </w:tblPr>
      <w:tr>
        <w:trPr>
          <w:trHeight w:val="200"/>
        </w:trPr>
        <w:tc>
          <w:tcPr>
            <w:tcW w:w="3180" w:type="dxa"/>
            <w:vAlign w:val="bottom"/>
          </w:tcPr>
          <w:p>
            <w:pPr>
              <w:jc w:val="center"/>
              <w:ind w:right="1128"/>
              <w:spacing w:after="0"/>
              <w:rPr>
                <w:sz w:val="20"/>
                <w:szCs w:val="20"/>
                <w:color w:val="auto"/>
              </w:rPr>
            </w:pPr>
            <w:r>
              <w:rPr>
                <w:rFonts w:ascii="Arial" w:cs="Arial" w:eastAsia="Arial" w:hAnsi="Arial"/>
                <w:sz w:val="14"/>
                <w:szCs w:val="14"/>
                <w:b w:val="1"/>
                <w:bCs w:val="1"/>
                <w:color w:val="auto"/>
              </w:rPr>
              <w:t>Delaware</w:t>
            </w:r>
          </w:p>
        </w:tc>
        <w:tc>
          <w:tcPr>
            <w:tcW w:w="3500" w:type="dxa"/>
            <w:vAlign w:val="bottom"/>
          </w:tcPr>
          <w:p>
            <w:pPr>
              <w:jc w:val="center"/>
              <w:ind w:right="148"/>
              <w:spacing w:after="0"/>
              <w:rPr>
                <w:sz w:val="20"/>
                <w:szCs w:val="20"/>
                <w:color w:val="auto"/>
              </w:rPr>
            </w:pPr>
            <w:r>
              <w:rPr>
                <w:rFonts w:ascii="Arial" w:cs="Arial" w:eastAsia="Arial" w:hAnsi="Arial"/>
                <w:sz w:val="14"/>
                <w:szCs w:val="14"/>
                <w:b w:val="1"/>
                <w:bCs w:val="1"/>
                <w:color w:val="auto"/>
              </w:rPr>
              <w:t>001-38311</w:t>
            </w:r>
          </w:p>
        </w:tc>
        <w:tc>
          <w:tcPr>
            <w:tcW w:w="2620" w:type="dxa"/>
            <w:vAlign w:val="bottom"/>
          </w:tcPr>
          <w:p>
            <w:pPr>
              <w:jc w:val="center"/>
              <w:ind w:left="1348"/>
              <w:spacing w:after="0"/>
              <w:rPr>
                <w:sz w:val="20"/>
                <w:szCs w:val="20"/>
                <w:color w:val="auto"/>
              </w:rPr>
            </w:pPr>
            <w:r>
              <w:rPr>
                <w:rFonts w:ascii="Arial" w:cs="Arial" w:eastAsia="Arial" w:hAnsi="Arial"/>
                <w:sz w:val="14"/>
                <w:szCs w:val="14"/>
                <w:b w:val="1"/>
                <w:bCs w:val="1"/>
                <w:color w:val="auto"/>
              </w:rPr>
              <w:t>46-3872213</w:t>
            </w:r>
          </w:p>
        </w:tc>
      </w:tr>
      <w:tr>
        <w:trPr>
          <w:trHeight w:val="203"/>
        </w:trPr>
        <w:tc>
          <w:tcPr>
            <w:tcW w:w="3180" w:type="dxa"/>
            <w:vAlign w:val="bottom"/>
          </w:tcPr>
          <w:p>
            <w:pPr>
              <w:jc w:val="center"/>
              <w:ind w:right="1128"/>
              <w:spacing w:after="0"/>
              <w:rPr>
                <w:sz w:val="20"/>
                <w:szCs w:val="20"/>
                <w:color w:val="auto"/>
              </w:rPr>
            </w:pPr>
            <w:r>
              <w:rPr>
                <w:rFonts w:ascii="Arial" w:cs="Arial" w:eastAsia="Arial" w:hAnsi="Arial"/>
                <w:sz w:val="14"/>
                <w:szCs w:val="14"/>
                <w:b w:val="1"/>
                <w:bCs w:val="1"/>
                <w:color w:val="auto"/>
              </w:rPr>
              <w:t>(State or other jurisdiction of</w:t>
            </w:r>
          </w:p>
        </w:tc>
        <w:tc>
          <w:tcPr>
            <w:tcW w:w="3500" w:type="dxa"/>
            <w:vAlign w:val="bottom"/>
          </w:tcPr>
          <w:p>
            <w:pPr>
              <w:jc w:val="center"/>
              <w:ind w:right="148"/>
              <w:spacing w:after="0"/>
              <w:rPr>
                <w:sz w:val="20"/>
                <w:szCs w:val="20"/>
                <w:color w:val="auto"/>
              </w:rPr>
            </w:pPr>
            <w:r>
              <w:rPr>
                <w:rFonts w:ascii="Arial" w:cs="Arial" w:eastAsia="Arial" w:hAnsi="Arial"/>
                <w:sz w:val="14"/>
                <w:szCs w:val="14"/>
                <w:b w:val="1"/>
                <w:bCs w:val="1"/>
                <w:color w:val="auto"/>
              </w:rPr>
              <w:t>(Commission</w:t>
            </w:r>
          </w:p>
        </w:tc>
        <w:tc>
          <w:tcPr>
            <w:tcW w:w="2620" w:type="dxa"/>
            <w:vAlign w:val="bottom"/>
          </w:tcPr>
          <w:p>
            <w:pPr>
              <w:jc w:val="center"/>
              <w:ind w:left="1348"/>
              <w:spacing w:after="0"/>
              <w:rPr>
                <w:sz w:val="20"/>
                <w:szCs w:val="20"/>
                <w:color w:val="auto"/>
              </w:rPr>
            </w:pPr>
            <w:r>
              <w:rPr>
                <w:rFonts w:ascii="Arial" w:cs="Arial" w:eastAsia="Arial" w:hAnsi="Arial"/>
                <w:sz w:val="14"/>
                <w:szCs w:val="14"/>
                <w:b w:val="1"/>
                <w:bCs w:val="1"/>
                <w:color w:val="auto"/>
              </w:rPr>
              <w:t>(I.R.S. Employer</w:t>
            </w:r>
          </w:p>
        </w:tc>
      </w:tr>
      <w:tr>
        <w:trPr>
          <w:trHeight w:val="203"/>
        </w:trPr>
        <w:tc>
          <w:tcPr>
            <w:tcW w:w="3180" w:type="dxa"/>
            <w:vAlign w:val="bottom"/>
          </w:tcPr>
          <w:p>
            <w:pPr>
              <w:jc w:val="center"/>
              <w:ind w:right="1128"/>
              <w:spacing w:after="0"/>
              <w:rPr>
                <w:sz w:val="20"/>
                <w:szCs w:val="20"/>
                <w:color w:val="auto"/>
              </w:rPr>
            </w:pPr>
            <w:r>
              <w:rPr>
                <w:rFonts w:ascii="Arial" w:cs="Arial" w:eastAsia="Arial" w:hAnsi="Arial"/>
                <w:sz w:val="14"/>
                <w:szCs w:val="14"/>
                <w:b w:val="1"/>
                <w:bCs w:val="1"/>
                <w:color w:val="auto"/>
              </w:rPr>
              <w:t>incorporation)</w:t>
            </w:r>
          </w:p>
        </w:tc>
        <w:tc>
          <w:tcPr>
            <w:tcW w:w="3500" w:type="dxa"/>
            <w:vAlign w:val="bottom"/>
          </w:tcPr>
          <w:p>
            <w:pPr>
              <w:jc w:val="center"/>
              <w:ind w:right="148"/>
              <w:spacing w:after="0"/>
              <w:rPr>
                <w:sz w:val="20"/>
                <w:szCs w:val="20"/>
                <w:color w:val="auto"/>
              </w:rPr>
            </w:pPr>
            <w:r>
              <w:rPr>
                <w:rFonts w:ascii="Arial" w:cs="Arial" w:eastAsia="Arial" w:hAnsi="Arial"/>
                <w:sz w:val="14"/>
                <w:szCs w:val="14"/>
                <w:b w:val="1"/>
                <w:bCs w:val="1"/>
                <w:color w:val="auto"/>
              </w:rPr>
              <w:t>File Number)</w:t>
            </w:r>
          </w:p>
        </w:tc>
        <w:tc>
          <w:tcPr>
            <w:tcW w:w="2620" w:type="dxa"/>
            <w:vAlign w:val="bottom"/>
          </w:tcPr>
          <w:p>
            <w:pPr>
              <w:jc w:val="center"/>
              <w:ind w:left="1348"/>
              <w:spacing w:after="0"/>
              <w:rPr>
                <w:sz w:val="20"/>
                <w:szCs w:val="20"/>
                <w:color w:val="auto"/>
              </w:rPr>
            </w:pPr>
            <w:r>
              <w:rPr>
                <w:rFonts w:ascii="Arial" w:cs="Arial" w:eastAsia="Arial" w:hAnsi="Arial"/>
                <w:sz w:val="14"/>
                <w:szCs w:val="14"/>
                <w:b w:val="1"/>
                <w:bCs w:val="1"/>
                <w:color w:val="auto"/>
              </w:rPr>
              <w:t>Identification No.)</w:t>
            </w:r>
          </w:p>
        </w:tc>
      </w:tr>
    </w:tbl>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161 Oyster Point Blvd.</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866-8548</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23495</wp:posOffset>
            </wp:positionV>
            <wp:extent cx="23488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right="300"/>
        <w:spacing w:after="0" w:line="26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4" w:lineRule="exact"/>
        <w:rPr>
          <w:sz w:val="24"/>
          <w:szCs w:val="24"/>
          <w:color w:val="auto"/>
        </w:rPr>
      </w:pPr>
    </w:p>
    <w:p>
      <w:pPr>
        <w:ind w:left="340" w:hanging="314"/>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4" w:lineRule="exact"/>
        <w:rPr>
          <w:rFonts w:ascii="MS PGothic" w:cs="MS PGothic" w:eastAsia="MS PGothic" w:hAnsi="MS PGothic"/>
          <w:sz w:val="16"/>
          <w:szCs w:val="16"/>
          <w:color w:val="auto"/>
        </w:rPr>
      </w:pPr>
    </w:p>
    <w:p>
      <w:pPr>
        <w:ind w:left="340" w:hanging="314"/>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340" w:hanging="314"/>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340" w:hanging="314"/>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69" w:lineRule="exact"/>
        <w:rPr>
          <w:sz w:val="24"/>
          <w:szCs w:val="24"/>
          <w:color w:val="auto"/>
        </w:rPr>
      </w:pPr>
    </w:p>
    <w:p>
      <w:pPr>
        <w:ind w:right="620"/>
        <w:spacing w:after="0" w:line="25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ind w:left="20"/>
        <w:spacing w:after="0" w:line="184" w:lineRule="exact"/>
        <w:tabs>
          <w:tab w:leader="none" w:pos="250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80" w:lineRule="exact"/>
        <w:rPr>
          <w:sz w:val="24"/>
          <w:szCs w:val="24"/>
          <w:color w:val="auto"/>
        </w:rPr>
      </w:pPr>
    </w:p>
    <w:p>
      <w:pPr>
        <w:ind w:left="20" w:right="120"/>
        <w:spacing w:after="0" w:line="18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8"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4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6"/>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DNLI</w:t>
            </w:r>
          </w:p>
        </w:tc>
        <w:tc>
          <w:tcPr>
            <w:tcW w:w="4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r>
        <w:trPr>
          <w:trHeight w:val="105"/>
        </w:trPr>
        <w:tc>
          <w:tcPr>
            <w:tcW w:w="446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4820" w:type="dxa"/>
            <w:vAlign w:val="bottom"/>
            <w:tcBorders>
              <w:bottom w:val="single" w:sz="8" w:color="auto"/>
            </w:tcBorders>
          </w:tcPr>
          <w:p>
            <w:pPr>
              <w:spacing w:after="0"/>
              <w:rPr>
                <w:sz w:val="9"/>
                <w:szCs w:val="9"/>
                <w:color w:val="auto"/>
              </w:rPr>
            </w:pPr>
          </w:p>
        </w:tc>
      </w:tr>
      <w:tr>
        <w:trPr>
          <w:trHeight w:val="41"/>
        </w:trPr>
        <w:tc>
          <w:tcPr>
            <w:tcW w:w="446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4820" w:type="dxa"/>
            <w:vAlign w:val="bottom"/>
            <w:tcBorders>
              <w:bottom w:val="single" w:sz="8" w:color="auto"/>
            </w:tcBorders>
          </w:tcPr>
          <w:p>
            <w:pPr>
              <w:spacing w:after="0"/>
              <w:rPr>
                <w:sz w:val="3"/>
                <w:szCs w:val="3"/>
                <w:color w:val="auto"/>
              </w:rPr>
            </w:pPr>
          </w:p>
        </w:tc>
      </w:tr>
      <w:tr>
        <w:trPr>
          <w:trHeight w:val="777"/>
        </w:trPr>
        <w:tc>
          <w:tcPr>
            <w:tcW w:w="44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195"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On June 1, 2023, Denali Therapeutics Inc. (the “Company”) held its annual meeting of stockholders. Of the 136,736,309 shares of common stock outstanding as of April 4, 2023, the record date for the meeting, 112,922,471 shares of common stock were represented at the meeting in person or by proxy, constituting 82.58% of the outstanding common stock entitled to vote. The matters voted upon at the meeting and the vote with respect to each such matter are set forth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208" w:lineRule="exact"/>
        <w:rPr>
          <w:sz w:val="20"/>
          <w:szCs w:val="20"/>
          <w:color w:val="auto"/>
        </w:rPr>
      </w:pPr>
    </w:p>
    <w:p>
      <w:pPr>
        <w:jc w:val="both"/>
        <w:ind w:right="240" w:firstLine="486"/>
        <w:spacing w:after="0" w:line="263" w:lineRule="auto"/>
        <w:rPr>
          <w:sz w:val="20"/>
          <w:szCs w:val="20"/>
          <w:color w:val="auto"/>
        </w:rPr>
      </w:pPr>
      <w:r>
        <w:rPr>
          <w:rFonts w:ascii="Arial" w:cs="Arial" w:eastAsia="Arial" w:hAnsi="Arial"/>
          <w:sz w:val="18"/>
          <w:szCs w:val="18"/>
          <w:color w:val="auto"/>
        </w:rPr>
        <w:t>Election of three Class III directors to hold office until the 2026 annual meeting of stockholders. Each of the following nominees was elected to serve as a Class III director, to hold office until the Company’s 2026 annual meeting of stockholders or until his or her respective successor has been duly elected and qualified or his or her earlier resignation or removal.</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Nominees</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ind w:left="1000"/>
              <w:spacing w:after="0"/>
              <w:rPr>
                <w:sz w:val="20"/>
                <w:szCs w:val="20"/>
                <w:color w:val="auto"/>
              </w:rPr>
            </w:pPr>
            <w:r>
              <w:rPr>
                <w:rFonts w:ascii="Arial" w:cs="Arial" w:eastAsia="Arial" w:hAnsi="Arial"/>
                <w:sz w:val="16"/>
                <w:szCs w:val="16"/>
                <w:b w:val="1"/>
                <w:bCs w:val="1"/>
                <w:color w:val="auto"/>
              </w:rPr>
              <w:t>For</w:t>
            </w:r>
          </w:p>
        </w:tc>
        <w:tc>
          <w:tcPr>
            <w:tcW w:w="12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rPr>
              <w:t>Withheld</w:t>
            </w:r>
          </w:p>
        </w:tc>
        <w:tc>
          <w:tcPr>
            <w:tcW w:w="100" w:type="dxa"/>
            <w:vAlign w:val="bottom"/>
            <w:tcBorders>
              <w:bottom w:val="single" w:sz="8" w:color="CCEEFF"/>
            </w:tcBorders>
          </w:tcPr>
          <w:p>
            <w:pPr>
              <w:spacing w:after="0"/>
              <w:rPr>
                <w:sz w:val="19"/>
                <w:szCs w:val="19"/>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Jennifer Cook</w:t>
            </w:r>
          </w:p>
        </w:tc>
        <w:tc>
          <w:tcPr>
            <w:tcW w:w="23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87,451,911</w:t>
            </w:r>
          </w:p>
        </w:tc>
        <w:tc>
          <w:tcPr>
            <w:tcW w:w="2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17,172,773</w:t>
            </w:r>
          </w:p>
        </w:tc>
        <w:tc>
          <w:tcPr>
            <w:tcW w:w="30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8,297,787</w:t>
            </w:r>
          </w:p>
        </w:tc>
      </w:tr>
      <w:tr>
        <w:trPr>
          <w:trHeight w:val="236"/>
        </w:trPr>
        <w:tc>
          <w:tcPr>
            <w:tcW w:w="3460" w:type="dxa"/>
            <w:vAlign w:val="bottom"/>
          </w:tcPr>
          <w:p>
            <w:pPr>
              <w:ind w:left="20"/>
              <w:spacing w:after="0"/>
              <w:rPr>
                <w:sz w:val="20"/>
                <w:szCs w:val="20"/>
                <w:color w:val="auto"/>
              </w:rPr>
            </w:pPr>
            <w:r>
              <w:rPr>
                <w:rFonts w:ascii="Arial" w:cs="Arial" w:eastAsia="Arial" w:hAnsi="Arial"/>
                <w:sz w:val="18"/>
                <w:szCs w:val="18"/>
                <w:color w:val="auto"/>
              </w:rPr>
              <w:t>David Schenkein, M.D.</w:t>
            </w:r>
          </w:p>
        </w:tc>
        <w:tc>
          <w:tcPr>
            <w:tcW w:w="23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87,642,096</w:t>
            </w:r>
          </w:p>
        </w:tc>
        <w:tc>
          <w:tcPr>
            <w:tcW w:w="23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16,982,588</w:t>
            </w:r>
          </w:p>
        </w:tc>
        <w:tc>
          <w:tcPr>
            <w:tcW w:w="30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8,297,787</w:t>
            </w:r>
          </w:p>
        </w:tc>
      </w:tr>
      <w:tr>
        <w:trPr>
          <w:trHeight w:val="23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Ryan J. Watts, Ph.D.</w:t>
            </w:r>
          </w:p>
        </w:tc>
        <w:tc>
          <w:tcPr>
            <w:tcW w:w="23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103,702,078</w:t>
            </w:r>
          </w:p>
        </w:tc>
        <w:tc>
          <w:tcPr>
            <w:tcW w:w="23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8"/>
              </w:rPr>
              <w:t>922,606</w:t>
            </w:r>
          </w:p>
        </w:tc>
        <w:tc>
          <w:tcPr>
            <w:tcW w:w="30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8,297,787</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Ratification of Appointment of Independent Registered Public Accounting Firm</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appointment of Ernst &amp; Young LLP as the Company’s independent registered public accounting firm for the fiscal year ending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 was ratified based on the following results of voting: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For</w:t>
            </w:r>
          </w:p>
        </w:tc>
        <w:tc>
          <w:tcPr>
            <w:tcW w:w="120" w:type="dxa"/>
            <w:vAlign w:val="bottom"/>
          </w:tcPr>
          <w:p>
            <w:pPr>
              <w:spacing w:after="0"/>
              <w:rPr>
                <w:sz w:val="19"/>
                <w:szCs w:val="19"/>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Against</w:t>
            </w:r>
          </w:p>
        </w:tc>
        <w:tc>
          <w:tcPr>
            <w:tcW w:w="120" w:type="dxa"/>
            <w:vAlign w:val="bottom"/>
          </w:tcPr>
          <w:p>
            <w:pPr>
              <w:spacing w:after="0"/>
              <w:rPr>
                <w:sz w:val="19"/>
                <w:szCs w:val="19"/>
                <w:color w:val="auto"/>
              </w:rPr>
            </w:pPr>
          </w:p>
        </w:tc>
        <w:tc>
          <w:tcPr>
            <w:tcW w:w="2700" w:type="dxa"/>
            <w:vAlign w:val="bottom"/>
            <w:tcBorders>
              <w:bottom w:val="single" w:sz="8" w:color="auto"/>
            </w:tcBorders>
          </w:tcPr>
          <w:p>
            <w:pPr>
              <w:ind w:left="1060"/>
              <w:spacing w:after="0"/>
              <w:rPr>
                <w:sz w:val="20"/>
                <w:szCs w:val="20"/>
                <w:color w:val="auto"/>
              </w:rPr>
            </w:pPr>
            <w:r>
              <w:rPr>
                <w:rFonts w:ascii="Arial" w:cs="Arial" w:eastAsia="Arial" w:hAnsi="Arial"/>
                <w:sz w:val="16"/>
                <w:szCs w:val="16"/>
                <w:b w:val="1"/>
                <w:bCs w:val="1"/>
                <w:color w:val="auto"/>
              </w:rPr>
              <w:t>Abstain</w:t>
            </w:r>
          </w:p>
        </w:tc>
        <w:tc>
          <w:tcPr>
            <w:tcW w:w="120" w:type="dxa"/>
            <w:vAlign w:val="bottom"/>
          </w:tcPr>
          <w:p>
            <w:pPr>
              <w:spacing w:after="0"/>
              <w:rPr>
                <w:sz w:val="19"/>
                <w:szCs w:val="19"/>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37"/>
        </w:trPr>
        <w:tc>
          <w:tcPr>
            <w:tcW w:w="272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rPr>
              <w:t>112,694,203</w:t>
            </w:r>
          </w:p>
        </w:tc>
        <w:tc>
          <w:tcPr>
            <w:tcW w:w="2820" w:type="dxa"/>
            <w:vAlign w:val="bottom"/>
            <w:gridSpan w:val="2"/>
            <w:shd w:val="clear" w:color="auto" w:fill="CCEEFF"/>
          </w:tcPr>
          <w:p>
            <w:pPr>
              <w:jc w:val="right"/>
              <w:ind w:right="939"/>
              <w:spacing w:after="0"/>
              <w:rPr>
                <w:sz w:val="20"/>
                <w:szCs w:val="20"/>
                <w:color w:val="auto"/>
              </w:rPr>
            </w:pPr>
            <w:r>
              <w:rPr>
                <w:rFonts w:ascii="Arial" w:cs="Arial" w:eastAsia="Arial" w:hAnsi="Arial"/>
                <w:sz w:val="18"/>
                <w:szCs w:val="18"/>
                <w:color w:val="auto"/>
              </w:rPr>
              <w:t>198,540</w:t>
            </w:r>
          </w:p>
        </w:tc>
        <w:tc>
          <w:tcPr>
            <w:tcW w:w="28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29,728</w:t>
            </w:r>
          </w:p>
        </w:tc>
        <w:tc>
          <w:tcPr>
            <w:tcW w:w="120" w:type="dxa"/>
            <w:vAlign w:val="bottom"/>
            <w:shd w:val="clear" w:color="auto" w:fill="CCEEFF"/>
          </w:tcPr>
          <w:p>
            <w:pPr>
              <w:spacing w:after="0"/>
              <w:rPr>
                <w:sz w:val="20"/>
                <w:szCs w:val="20"/>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 Advisory Vote to Approve Executive Compensation</w:t>
      </w:r>
    </w:p>
    <w:p>
      <w:pPr>
        <w:spacing w:after="0" w:line="208" w:lineRule="exact"/>
        <w:rPr>
          <w:sz w:val="20"/>
          <w:szCs w:val="20"/>
          <w:color w:val="auto"/>
        </w:rPr>
      </w:pPr>
    </w:p>
    <w:p>
      <w:pPr>
        <w:ind w:right="580" w:firstLine="486"/>
        <w:spacing w:after="0" w:line="275" w:lineRule="auto"/>
        <w:rPr>
          <w:sz w:val="20"/>
          <w:szCs w:val="20"/>
          <w:color w:val="auto"/>
        </w:rPr>
      </w:pPr>
      <w:r>
        <w:rPr>
          <w:rFonts w:ascii="Arial" w:cs="Arial" w:eastAsia="Arial" w:hAnsi="Arial"/>
          <w:sz w:val="18"/>
          <w:szCs w:val="18"/>
          <w:color w:val="auto"/>
        </w:rPr>
        <w:t>The Company’s stockholders approved, on a non-binding, advisory basis, the compensation of the Company’s named executive officers as disclosed in the Proxy Statement.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For</w:t>
            </w:r>
          </w:p>
        </w:tc>
        <w:tc>
          <w:tcPr>
            <w:tcW w:w="100" w:type="dxa"/>
            <w:vAlign w:val="bottom"/>
            <w:tcBorders>
              <w:bottom w:val="single" w:sz="8" w:color="CCEEFF"/>
            </w:tcBorders>
          </w:tcPr>
          <w:p>
            <w:pPr>
              <w:spacing w:after="0"/>
              <w:rPr>
                <w:sz w:val="19"/>
                <w:szCs w:val="19"/>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Against</w:t>
            </w:r>
          </w:p>
        </w:tc>
        <w:tc>
          <w:tcPr>
            <w:tcW w:w="120" w:type="dxa"/>
            <w:vAlign w:val="bottom"/>
            <w:tcBorders>
              <w:bottom w:val="single" w:sz="8" w:color="CCEEFF"/>
            </w:tcBorders>
          </w:tcPr>
          <w:p>
            <w:pPr>
              <w:spacing w:after="0"/>
              <w:rPr>
                <w:sz w:val="19"/>
                <w:szCs w:val="19"/>
                <w:color w:val="auto"/>
              </w:rPr>
            </w:pPr>
          </w:p>
        </w:tc>
        <w:tc>
          <w:tcPr>
            <w:tcW w:w="2720" w:type="dxa"/>
            <w:vAlign w:val="bottom"/>
            <w:tcBorders>
              <w:bottom w:val="single" w:sz="8" w:color="auto"/>
            </w:tcBorders>
          </w:tcPr>
          <w:p>
            <w:pPr>
              <w:ind w:left="1060"/>
              <w:spacing w:after="0"/>
              <w:rPr>
                <w:sz w:val="20"/>
                <w:szCs w:val="20"/>
                <w:color w:val="auto"/>
              </w:rPr>
            </w:pPr>
            <w:r>
              <w:rPr>
                <w:rFonts w:ascii="Arial" w:cs="Arial" w:eastAsia="Arial" w:hAnsi="Arial"/>
                <w:sz w:val="16"/>
                <w:szCs w:val="16"/>
                <w:b w:val="1"/>
                <w:bCs w:val="1"/>
                <w:color w:val="auto"/>
              </w:rPr>
              <w:t>Abstain</w:t>
            </w:r>
          </w:p>
        </w:tc>
        <w:tc>
          <w:tcPr>
            <w:tcW w:w="120" w:type="dxa"/>
            <w:vAlign w:val="bottom"/>
            <w:tcBorders>
              <w:bottom w:val="single" w:sz="8" w:color="CCEEFF"/>
            </w:tcBorders>
          </w:tcPr>
          <w:p>
            <w:pPr>
              <w:spacing w:after="0"/>
              <w:rPr>
                <w:sz w:val="19"/>
                <w:szCs w:val="19"/>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Broker Non-Votes</w:t>
            </w:r>
          </w:p>
        </w:tc>
      </w:tr>
      <w:tr>
        <w:trPr>
          <w:trHeight w:val="223"/>
        </w:trPr>
        <w:tc>
          <w:tcPr>
            <w:tcW w:w="272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rPr>
              <w:t>98,002,580</w:t>
            </w:r>
          </w:p>
        </w:tc>
        <w:tc>
          <w:tcPr>
            <w:tcW w:w="2820" w:type="dxa"/>
            <w:vAlign w:val="bottom"/>
            <w:gridSpan w:val="2"/>
            <w:shd w:val="clear" w:color="auto" w:fill="CCEEFF"/>
          </w:tcPr>
          <w:p>
            <w:pPr>
              <w:jc w:val="right"/>
              <w:ind w:right="859"/>
              <w:spacing w:after="0"/>
              <w:rPr>
                <w:sz w:val="20"/>
                <w:szCs w:val="20"/>
                <w:color w:val="auto"/>
              </w:rPr>
            </w:pPr>
            <w:r>
              <w:rPr>
                <w:rFonts w:ascii="Arial" w:cs="Arial" w:eastAsia="Arial" w:hAnsi="Arial"/>
                <w:sz w:val="18"/>
                <w:szCs w:val="18"/>
                <w:color w:val="auto"/>
              </w:rPr>
              <w:t>6,571,884</w:t>
            </w:r>
          </w:p>
        </w:tc>
        <w:tc>
          <w:tcPr>
            <w:tcW w:w="28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50,220</w:t>
            </w:r>
          </w:p>
        </w:tc>
        <w:tc>
          <w:tcPr>
            <w:tcW w:w="2860" w:type="dxa"/>
            <w:vAlign w:val="bottom"/>
            <w:gridSpan w:val="2"/>
            <w:shd w:val="clear" w:color="auto" w:fill="CCEEFF"/>
          </w:tcPr>
          <w:p>
            <w:pPr>
              <w:jc w:val="right"/>
              <w:ind w:right="899"/>
              <w:spacing w:after="0"/>
              <w:rPr>
                <w:sz w:val="20"/>
                <w:szCs w:val="20"/>
                <w:color w:val="auto"/>
              </w:rPr>
            </w:pPr>
            <w:r>
              <w:rPr>
                <w:rFonts w:ascii="Arial" w:cs="Arial" w:eastAsia="Arial" w:hAnsi="Arial"/>
                <w:sz w:val="18"/>
                <w:szCs w:val="18"/>
                <w:color w:val="auto"/>
              </w:rPr>
              <w:t>8,297,787</w:t>
            </w:r>
          </w:p>
        </w:tc>
      </w:tr>
    </w:tbl>
    <w:p>
      <w:pPr>
        <w:spacing w:after="0" w:line="39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Description</w:t>
            </w:r>
          </w:p>
        </w:tc>
        <w:tc>
          <w:tcPr>
            <w:tcW w:w="3300" w:type="dxa"/>
            <w:vAlign w:val="bottom"/>
          </w:tcPr>
          <w:p>
            <w:pPr>
              <w:spacing w:after="0"/>
              <w:rPr>
                <w:sz w:val="20"/>
                <w:szCs w:val="20"/>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1438"/>
        </w:trPr>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6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62" w:lineRule="exact"/>
        <w:rPr>
          <w:sz w:val="20"/>
          <w:szCs w:val="20"/>
          <w:color w:val="auto"/>
        </w:rPr>
      </w:pPr>
    </w:p>
    <w:p>
      <w:pPr>
        <w:ind w:firstLine="486"/>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3800" w:type="dxa"/>
            <w:vAlign w:val="bottom"/>
          </w:tcPr>
          <w:p>
            <w:pPr>
              <w:spacing w:after="0"/>
              <w:rPr>
                <w:sz w:val="21"/>
                <w:szCs w:val="21"/>
                <w:color w:val="auto"/>
              </w:rPr>
            </w:pPr>
          </w:p>
        </w:tc>
        <w:tc>
          <w:tcPr>
            <w:tcW w:w="7400" w:type="dxa"/>
            <w:vAlign w:val="bottom"/>
            <w:gridSpan w:val="2"/>
          </w:tcPr>
          <w:p>
            <w:pPr>
              <w:ind w:left="2080"/>
              <w:spacing w:after="0"/>
              <w:rPr>
                <w:sz w:val="20"/>
                <w:szCs w:val="20"/>
                <w:color w:val="auto"/>
              </w:rPr>
            </w:pPr>
            <w:r>
              <w:rPr>
                <w:rFonts w:ascii="Arial" w:cs="Arial" w:eastAsia="Arial" w:hAnsi="Arial"/>
                <w:sz w:val="18"/>
                <w:szCs w:val="18"/>
                <w:b w:val="1"/>
                <w:bCs w:val="1"/>
                <w:color w:val="auto"/>
              </w:rPr>
              <w:t>DENALI THERAPEUTICS INC.</w:t>
            </w:r>
          </w:p>
        </w:tc>
      </w:tr>
      <w:tr>
        <w:trPr>
          <w:trHeight w:val="461"/>
        </w:trPr>
        <w:tc>
          <w:tcPr>
            <w:tcW w:w="3800" w:type="dxa"/>
            <w:vAlign w:val="bottom"/>
          </w:tcPr>
          <w:p>
            <w:pPr>
              <w:spacing w:after="0"/>
              <w:rPr>
                <w:sz w:val="20"/>
                <w:szCs w:val="20"/>
                <w:color w:val="auto"/>
              </w:rPr>
            </w:pPr>
            <w:r>
              <w:rPr>
                <w:rFonts w:ascii="Arial" w:cs="Arial" w:eastAsia="Arial" w:hAnsi="Arial"/>
                <w:sz w:val="18"/>
                <w:szCs w:val="18"/>
                <w:color w:val="auto"/>
              </w:rPr>
              <w:t>Date:   June 2, 2023</w:t>
            </w:r>
          </w:p>
        </w:tc>
        <w:tc>
          <w:tcPr>
            <w:tcW w:w="7400" w:type="dxa"/>
            <w:vAlign w:val="bottom"/>
            <w:gridSpan w:val="2"/>
          </w:tcPr>
          <w:p>
            <w:pPr>
              <w:ind w:left="2080"/>
              <w:spacing w:after="0"/>
              <w:rPr>
                <w:sz w:val="20"/>
                <w:szCs w:val="20"/>
                <w:color w:val="auto"/>
              </w:rPr>
            </w:pPr>
            <w:r>
              <w:rPr>
                <w:rFonts w:ascii="Arial" w:cs="Arial" w:eastAsia="Arial" w:hAnsi="Arial"/>
                <w:sz w:val="18"/>
                <w:szCs w:val="18"/>
                <w:color w:val="auto"/>
              </w:rPr>
              <w:t>By:   /s/ Alexander O. Schuth</w:t>
            </w:r>
          </w:p>
        </w:tc>
      </w:tr>
      <w:tr>
        <w:trPr>
          <w:trHeight w:val="223"/>
        </w:trPr>
        <w:tc>
          <w:tcPr>
            <w:tcW w:w="38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Alexander O. Schuth, M.D.</w:t>
            </w:r>
          </w:p>
        </w:tc>
      </w:tr>
      <w:tr>
        <w:trPr>
          <w:trHeight w:val="230"/>
        </w:trPr>
        <w:tc>
          <w:tcPr>
            <w:tcW w:w="38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Chief Operating and Financial Officer</w:t>
            </w:r>
          </w:p>
        </w:tc>
      </w:tr>
    </w:tbl>
    <w:p>
      <w:pPr>
        <w:spacing w:after="0" w:line="1" w:lineRule="exact"/>
        <w:rPr>
          <w:sz w:val="20"/>
          <w:szCs w:val="20"/>
          <w:color w:val="auto"/>
        </w:rPr>
      </w:pPr>
    </w:p>
    <w:sectPr>
      <w:pgSz w:w="11900" w:h="16838" w:orient="portrait"/>
      <w:cols w:equalWidth="0" w:num="1">
        <w:col w:w="11240"/>
      </w:cols>
      <w:pgMar w:left="320" w:top="12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2023-06-02T15:14:20Z</dcterms:created>
  <dcterms:modified xsi:type="dcterms:W3CDTF">2023-06-02T15:14:20Z</dcterms:modified>
</cp:coreProperties>
</file>