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62230</wp:posOffset>
            </wp:positionV>
            <wp:extent cx="2357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43815</wp:posOffset>
            </wp:positionV>
            <wp:extent cx="2357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March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63500</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Denali Therapeutics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4"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3160" w:type="dxa"/>
            <w:vAlign w:val="bottom"/>
          </w:tcPr>
          <w:p>
            <w:pPr>
              <w:jc w:val="center"/>
              <w:ind w:right="1128"/>
              <w:spacing w:after="0"/>
              <w:rPr>
                <w:sz w:val="20"/>
                <w:szCs w:val="20"/>
                <w:color w:val="auto"/>
              </w:rPr>
            </w:pPr>
            <w:r>
              <w:rPr>
                <w:rFonts w:ascii="Arial" w:cs="Arial" w:eastAsia="Arial" w:hAnsi="Arial"/>
                <w:sz w:val="14"/>
                <w:szCs w:val="14"/>
                <w:b w:val="1"/>
                <w:bCs w:val="1"/>
                <w:color w:val="auto"/>
              </w:rPr>
              <w:t>Delaware</w:t>
            </w:r>
          </w:p>
        </w:tc>
        <w:tc>
          <w:tcPr>
            <w:tcW w:w="352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001-38311</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46-3872213</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(State or other jurisdiction of</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(Commission</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(I.R.S. Employer</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incorporation)</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File Number)</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Identification No.)</w:t>
            </w:r>
          </w:p>
        </w:tc>
      </w:tr>
    </w:tbl>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161 Oyster Point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866-8547</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32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 (s)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DNLI</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323" w:lineRule="exact"/>
        <w:rPr>
          <w:sz w:val="24"/>
          <w:szCs w:val="24"/>
          <w:color w:val="auto"/>
        </w:rPr>
      </w:pPr>
    </w:p>
    <w:p>
      <w:pPr>
        <w:ind w:right="6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20"/>
        <w:spacing w:after="0" w:line="184" w:lineRule="exact"/>
        <w:tabs>
          <w:tab w:leader="none" w:pos="24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76" w:lineRule="exact"/>
        <w:rPr>
          <w:sz w:val="24"/>
          <w:szCs w:val="24"/>
          <w:color w:val="auto"/>
        </w:rPr>
      </w:pPr>
    </w:p>
    <w:p>
      <w:pPr>
        <w:ind w:left="20" w:right="14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239"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The information contained in Item 1.01 of the Form 8-K filed by Denali Therapeutics Inc. (the “Company”) on December 4, 2025 related to the synthetic royalty funding agreement between the Company and Royalty Pharma (the “Royalty Agreement”), and the information contained in Item 7.01 below, is hereby incorporated by reference into this Item 2.03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Agreement Closing and Funding</w:t>
      </w:r>
    </w:p>
    <w:p>
      <w:pPr>
        <w:spacing w:after="0" w:line="250" w:lineRule="exact"/>
        <w:rPr>
          <w:sz w:val="20"/>
          <w:szCs w:val="20"/>
          <w:color w:val="auto"/>
        </w:rPr>
      </w:pPr>
    </w:p>
    <w:p>
      <w:pPr>
        <w:ind w:right="240" w:firstLine="486"/>
        <w:spacing w:after="0" w:line="268" w:lineRule="auto"/>
        <w:rPr>
          <w:sz w:val="20"/>
          <w:szCs w:val="20"/>
          <w:color w:val="auto"/>
        </w:rPr>
      </w:pPr>
      <w:r>
        <w:rPr>
          <w:rFonts w:ascii="Arial" w:cs="Arial" w:eastAsia="Arial" w:hAnsi="Arial"/>
          <w:sz w:val="18"/>
          <w:szCs w:val="18"/>
          <w:color w:val="auto"/>
        </w:rPr>
        <w:t>On March 27, 2026, the Company received $200.0 million in gross proceeds in connection with the closing of the transactions under the Royalty Agreement. The closing followed the U.S. Food and Drug and Administration’s accelerated approval of tividenofusp alfa on 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680" w:type="dxa"/>
            <w:vAlign w:val="bottom"/>
          </w:tcPr>
          <w:p>
            <w:pPr>
              <w:spacing w:after="0"/>
              <w:rPr>
                <w:sz w:val="21"/>
                <w:szCs w:val="21"/>
                <w:color w:val="auto"/>
              </w:rPr>
            </w:pPr>
          </w:p>
        </w:tc>
        <w:tc>
          <w:tcPr>
            <w:tcW w:w="7540" w:type="dxa"/>
            <w:vAlign w:val="bottom"/>
            <w:gridSpan w:val="2"/>
          </w:tcPr>
          <w:p>
            <w:pPr>
              <w:ind w:left="1800"/>
              <w:spacing w:after="0"/>
              <w:rPr>
                <w:sz w:val="20"/>
                <w:szCs w:val="20"/>
                <w:color w:val="auto"/>
              </w:rPr>
            </w:pPr>
            <w:r>
              <w:rPr>
                <w:rFonts w:ascii="Arial" w:cs="Arial" w:eastAsia="Arial" w:hAnsi="Arial"/>
                <w:sz w:val="18"/>
                <w:szCs w:val="18"/>
                <w:b w:val="1"/>
                <w:bCs w:val="1"/>
                <w:color w:val="auto"/>
              </w:rPr>
              <w:t>DENALI THERAPEUTICS INC.</w:t>
            </w:r>
          </w:p>
        </w:tc>
      </w:tr>
      <w:tr>
        <w:trPr>
          <w:trHeight w:val="447"/>
        </w:trPr>
        <w:tc>
          <w:tcPr>
            <w:tcW w:w="3680" w:type="dxa"/>
            <w:vAlign w:val="bottom"/>
          </w:tcPr>
          <w:p>
            <w:pPr>
              <w:spacing w:after="0"/>
              <w:rPr>
                <w:sz w:val="20"/>
                <w:szCs w:val="20"/>
                <w:color w:val="auto"/>
              </w:rPr>
            </w:pPr>
            <w:r>
              <w:rPr>
                <w:rFonts w:ascii="Arial" w:cs="Arial" w:eastAsia="Arial" w:hAnsi="Arial"/>
                <w:sz w:val="18"/>
                <w:szCs w:val="18"/>
                <w:color w:val="auto"/>
              </w:rPr>
              <w:t>Date:   March 31, 2026</w:t>
            </w:r>
          </w:p>
        </w:tc>
        <w:tc>
          <w:tcPr>
            <w:tcW w:w="7540" w:type="dxa"/>
            <w:vAlign w:val="bottom"/>
            <w:gridSpan w:val="2"/>
          </w:tcPr>
          <w:p>
            <w:pPr>
              <w:ind w:left="1800"/>
              <w:spacing w:after="0"/>
              <w:rPr>
                <w:sz w:val="20"/>
                <w:szCs w:val="20"/>
                <w:color w:val="auto"/>
              </w:rPr>
            </w:pPr>
            <w:r>
              <w:rPr>
                <w:rFonts w:ascii="Arial" w:cs="Arial" w:eastAsia="Arial" w:hAnsi="Arial"/>
                <w:sz w:val="18"/>
                <w:szCs w:val="18"/>
                <w:color w:val="auto"/>
              </w:rPr>
              <w:t>By:  /s/ Alexander O. Schuth</w:t>
            </w:r>
          </w:p>
        </w:tc>
      </w:tr>
      <w:tr>
        <w:trPr>
          <w:trHeight w:val="218"/>
        </w:trPr>
        <w:tc>
          <w:tcPr>
            <w:tcW w:w="3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Alexander O. Schuth, M.D.</w:t>
            </w:r>
          </w:p>
        </w:tc>
      </w:tr>
      <w:tr>
        <w:trPr>
          <w:trHeight w:val="239"/>
        </w:trPr>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Chief Operating and Financial Officer</w:t>
            </w:r>
          </w:p>
        </w:tc>
      </w:tr>
    </w:tbl>
    <w:p>
      <w:pPr>
        <w:spacing w:after="0" w:line="1" w:lineRule="exact"/>
        <w:rPr>
          <w:sz w:val="20"/>
          <w:szCs w:val="20"/>
          <w:color w:val="auto"/>
        </w:rPr>
      </w:pP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2026-03-31T07:31:36Z</dcterms:created>
  <dcterms:modified xsi:type="dcterms:W3CDTF">2026-03-31T07:31:36Z</dcterms:modified>
</cp:coreProperties>
</file>