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4917.xml.htm"/>
      <w:bookmarkStart w:id="1" w:name="kswkform4_17866549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Schuth Alexander O.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DENALI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161 OYSTER POINT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Denali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DNLI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COFO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4"/>
        <w:gridCol w:w="902"/>
        <w:gridCol w:w="772"/>
        <w:gridCol w:w="599"/>
        <w:gridCol w:w="347"/>
        <w:gridCol w:w="840"/>
        <w:gridCol w:w="450"/>
        <w:gridCol w:w="752"/>
        <w:gridCol w:w="1188"/>
        <w:gridCol w:w="992"/>
        <w:gridCol w:w="10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2,857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25.07</w:t>
            </w:r>
          </w:p>
        </w:tc>
        <w:tc>
          <w:tcPr>
            <w:tcW w:w="11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281,763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523,749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satisfy the tax obligations by the Reporting Person in connection with the settlement of previously vested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135,475 Unvested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1,792 shares acquired under the ESPP Purchase on June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are held of record by The Schuth Family Trust U/A DTD 06/05/2017, for which the Reporting Person serves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Tyler Nielsen,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311" TargetMode="External"/><Relationship Id="rId5" Type="http://schemas.openxmlformats.org/officeDocument/2006/relationships/hyperlink" Target="http://www.sec.gov/cgi-bin/browse-edgar?action=getcompany&amp;CIK=00017148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3468</Characters>
  <CharactersWithSpaces>4033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