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color w:val="auto"/>
        </w:rPr>
        <w:t>December 4, 2017</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ectPr>
          <w:pgSz w:w="11900" w:h="16838" w:orient="portrait"/>
          <w:cols w:equalWidth="0" w:num="1">
            <w:col w:w="11060"/>
          </w:cols>
          <w:pgMar w:left="320" w:top="233" w:right="51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Chris Edwards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Erin Jaskot</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Keira Nakada</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Jim Rosenberg</w:t>
      </w:r>
    </w:p>
    <w:p>
      <w:pPr>
        <w:spacing w:after="0" w:line="200" w:lineRule="exact"/>
        <w:rPr>
          <w:sz w:val="24"/>
          <w:szCs w:val="24"/>
          <w:color w:val="auto"/>
        </w:rPr>
      </w:pPr>
    </w:p>
    <w:p>
      <w:pPr>
        <w:sectPr>
          <w:pgSz w:w="11900" w:h="16838" w:orient="portrait"/>
          <w:cols w:equalWidth="0" w:num="2">
            <w:col w:w="740" w:space="380"/>
            <w:col w:w="9940"/>
          </w:cols>
          <w:pgMar w:left="320" w:top="233" w:right="519" w:bottom="1440" w:gutter="0" w:footer="0" w:header="0"/>
          <w:type w:val="continuous"/>
        </w:sectPr>
      </w:pPr>
    </w:p>
    <w:p>
      <w:pPr>
        <w:spacing w:after="0" w:line="6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Denali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333-221522)</w:t>
      </w:r>
    </w:p>
    <w:p>
      <w:pPr>
        <w:spacing w:after="0" w:line="112" w:lineRule="exact"/>
        <w:rPr>
          <w:sz w:val="24"/>
          <w:szCs w:val="24"/>
          <w:color w:val="auto"/>
        </w:rPr>
      </w:pPr>
    </w:p>
    <w:p>
      <w:pPr>
        <w:sectPr>
          <w:pgSz w:w="11900" w:h="16838" w:orient="portrait"/>
          <w:cols w:equalWidth="0" w:num="2">
            <w:col w:w="820" w:space="300"/>
            <w:col w:w="9940"/>
          </w:cols>
          <w:pgMar w:left="320" w:top="233" w:right="519" w:bottom="1440" w:gutter="0" w:footer="0" w:header="0"/>
          <w:type w:val="continuous"/>
        </w:sectPr>
      </w:pPr>
    </w:p>
    <w:p>
      <w:pPr>
        <w:jc w:val="both"/>
        <w:ind w:left="1680" w:hanging="566"/>
        <w:spacing w:after="0" w:line="314"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Thursday, December 7, 2017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4:00 P.M. Eastern Standard Time</w:t>
      </w:r>
    </w:p>
    <w:p>
      <w:pPr>
        <w:spacing w:after="0" w:line="287" w:lineRule="exact"/>
        <w:rPr>
          <w:sz w:val="24"/>
          <w:szCs w:val="24"/>
          <w:color w:val="auto"/>
        </w:rPr>
      </w:pPr>
    </w:p>
    <w:p>
      <w:pPr>
        <w:sectPr>
          <w:pgSz w:w="11900" w:h="16838" w:orient="portrait"/>
          <w:cols w:equalWidth="0" w:num="2">
            <w:col w:w="2980" w:space="140"/>
            <w:col w:w="7940"/>
          </w:cols>
          <w:pgMar w:left="320" w:top="233" w:right="51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449"/>
        <w:spacing w:after="0" w:line="298" w:lineRule="auto"/>
        <w:rPr>
          <w:sz w:val="20"/>
          <w:szCs w:val="20"/>
          <w:color w:val="auto"/>
        </w:rPr>
      </w:pPr>
      <w:r>
        <w:rPr>
          <w:rFonts w:ascii="Arial" w:cs="Arial" w:eastAsia="Arial" w:hAnsi="Arial"/>
          <w:sz w:val="16"/>
          <w:szCs w:val="16"/>
          <w:color w:val="auto"/>
        </w:rPr>
        <w:t>Pursuant to Rule 461 under the Securities Act of 1933, as amended, Denali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S-l (File No. 333-221522)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declared effective at the “Requested Date” and “Requested Time” set forth above or at such later time as the Company or its counsel may orally request via telephone call to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Division of Corporation Finance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Once the Registration Statement has been declared effective, please orally confirm that event with our counsel, Wilson Sonsini Goodrich &amp; Rosati, P.C., by calling Tony Jeffries at (650) 849-3223.</w:t>
      </w:r>
    </w:p>
    <w:p>
      <w:pPr>
        <w:spacing w:after="0" w:line="158"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Statements.</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60"/>
          </w:cols>
          <w:pgMar w:left="320" w:top="233" w:right="519" w:bottom="1440" w:gutter="0" w:footer="0" w:header="0"/>
          <w:type w:val="continuous"/>
        </w:sectPr>
      </w:pPr>
    </w:p>
    <w:bookmarkStart w:id="1" w:name="page2"/>
    <w:bookmarkEnd w:id="1"/>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DENALI THERAPEUTICS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Ryan J. Watts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Ryan J. Watts,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0139"/>
          </w:cols>
          <w:pgMar w:left="320" w:top="274"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cc (w/o enclosures):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Ryan J. Watts, Ph.D., Denali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Steve E. Krognes, Denali Therapeutics Inc.</w:t>
      </w:r>
    </w:p>
    <w:p>
      <w:pPr>
        <w:spacing w:after="0" w:line="200" w:lineRule="exact"/>
        <w:rPr>
          <w:sz w:val="20"/>
          <w:szCs w:val="20"/>
          <w:color w:val="auto"/>
        </w:rPr>
      </w:pPr>
    </w:p>
    <w:p>
      <w:pPr>
        <w:sectPr>
          <w:pgSz w:w="11900" w:h="16838" w:orient="portrait"/>
          <w:cols w:equalWidth="0" w:num="2">
            <w:col w:w="1460" w:space="560"/>
            <w:col w:w="8119"/>
          </w:cols>
          <w:pgMar w:left="320" w:top="274" w:right="1440" w:bottom="1440" w:gutter="0" w:footer="0" w:header="0"/>
          <w:type w:val="continuous"/>
        </w:sectPr>
      </w:pPr>
    </w:p>
    <w:p>
      <w:pPr>
        <w:spacing w:after="0" w:line="49"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Tony Jeffries, Wilson Sonsini Goodrich &amp; Rosati, P.C.</w:t>
      </w:r>
    </w:p>
    <w:p>
      <w:pPr>
        <w:spacing w:after="0" w:line="35"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Jennifer Knapp, Wilson Sonsini Goodrich &amp; Rosati, P.C.</w:t>
      </w:r>
    </w:p>
    <w:p>
      <w:pPr>
        <w:spacing w:after="0" w:line="2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Catherine Doxsee, Wilson Sonsini Goodrich &amp; Rosati, P.C.</w:t>
      </w:r>
    </w:p>
    <w:p>
      <w:pPr>
        <w:spacing w:after="0" w:line="2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Alan F. Denenberg, Davis Polk &amp; Wardwell LLP</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Stephen Salmon, Davis Polk &amp; Wardwell LLP</w:t>
      </w:r>
    </w:p>
    <w:sectPr>
      <w:pgSz w:w="11900" w:h="16838" w:orient="portrait"/>
      <w:cols w:equalWidth="0" w:num="1">
        <w:col w:w="10139"/>
      </w:cols>
      <w:pgMar w:left="32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2020-10-07T22:44:46Z</dcterms:created>
  <dcterms:modified xsi:type="dcterms:W3CDTF">2020-10-07T22:44:46Z</dcterms:modified>
</cp:coreProperties>
</file>