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474980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440690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49530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76200</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5" w:lineRule="exact"/>
        <w:rPr>
          <w:sz w:val="24"/>
          <w:szCs w:val="24"/>
          <w:color w:val="auto"/>
        </w:rPr>
      </w:pPr>
    </w:p>
    <w:p>
      <w:pPr>
        <w:ind w:left="280" w:hanging="247"/>
        <w:spacing w:after="0"/>
        <w:tabs>
          <w:tab w:leader="none" w:pos="28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280" w:hanging="247"/>
        <w:spacing w:after="0"/>
        <w:tabs>
          <w:tab w:leader="none" w:pos="2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1"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3716655</wp:posOffset>
            </wp:positionH>
            <wp:positionV relativeFrom="paragraph">
              <wp:posOffset>-635</wp:posOffset>
            </wp:positionV>
            <wp:extent cx="1297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110490</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Denali Therapeutics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45085</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82"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880" w:type="dxa"/>
            <w:vAlign w:val="bottom"/>
          </w:tcPr>
          <w:p>
            <w:pPr>
              <w:jc w:val="center"/>
              <w:ind w:left="942"/>
              <w:spacing w:after="0"/>
              <w:rPr>
                <w:sz w:val="20"/>
                <w:szCs w:val="20"/>
                <w:color w:val="auto"/>
              </w:rPr>
            </w:pPr>
            <w:r>
              <w:rPr>
                <w:rFonts w:ascii="Arial" w:cs="Arial" w:eastAsia="Arial" w:hAnsi="Arial"/>
                <w:sz w:val="16"/>
                <w:szCs w:val="16"/>
                <w:b w:val="1"/>
                <w:bCs w:val="1"/>
                <w:color w:val="auto"/>
                <w:w w:val="99"/>
              </w:rPr>
              <w:t>Delaware</w:t>
            </w: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40" w:type="dxa"/>
            <w:vAlign w:val="bottom"/>
          </w:tcPr>
          <w:p>
            <w:pPr>
              <w:jc w:val="center"/>
              <w:ind w:right="543"/>
              <w:spacing w:after="0"/>
              <w:rPr>
                <w:sz w:val="20"/>
                <w:szCs w:val="20"/>
                <w:color w:val="auto"/>
              </w:rPr>
            </w:pPr>
            <w:r>
              <w:rPr>
                <w:rFonts w:ascii="Arial" w:cs="Arial" w:eastAsia="Arial" w:hAnsi="Arial"/>
                <w:sz w:val="16"/>
                <w:szCs w:val="16"/>
                <w:b w:val="1"/>
                <w:bCs w:val="1"/>
                <w:color w:val="auto"/>
              </w:rPr>
              <w:t>46-3872213</w:t>
            </w:r>
          </w:p>
        </w:tc>
      </w:tr>
      <w:tr>
        <w:trPr>
          <w:trHeight w:val="156"/>
        </w:trPr>
        <w:tc>
          <w:tcPr>
            <w:tcW w:w="3880" w:type="dxa"/>
            <w:vAlign w:val="bottom"/>
          </w:tcPr>
          <w:p>
            <w:pPr>
              <w:jc w:val="center"/>
              <w:ind w:left="942"/>
              <w:spacing w:after="0" w:line="156" w:lineRule="exact"/>
              <w:rPr>
                <w:sz w:val="20"/>
                <w:szCs w:val="20"/>
                <w:color w:val="auto"/>
              </w:rPr>
            </w:pPr>
            <w:r>
              <w:rPr>
                <w:rFonts w:ascii="Arial" w:cs="Arial" w:eastAsia="Arial" w:hAnsi="Arial"/>
                <w:sz w:val="14"/>
                <w:szCs w:val="14"/>
                <w:b w:val="1"/>
                <w:bCs w:val="1"/>
                <w:color w:val="auto"/>
              </w:rPr>
              <w:t>(State or other jurisdiction of</w:t>
            </w:r>
          </w:p>
        </w:tc>
        <w:tc>
          <w:tcPr>
            <w:tcW w:w="7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40" w:type="dxa"/>
            <w:vAlign w:val="bottom"/>
          </w:tcPr>
          <w:p>
            <w:pPr>
              <w:jc w:val="center"/>
              <w:ind w:right="543"/>
              <w:spacing w:after="0" w:line="156" w:lineRule="exact"/>
              <w:rPr>
                <w:sz w:val="20"/>
                <w:szCs w:val="20"/>
                <w:color w:val="auto"/>
              </w:rPr>
            </w:pPr>
            <w:r>
              <w:rPr>
                <w:rFonts w:ascii="Arial" w:cs="Arial" w:eastAsia="Arial" w:hAnsi="Arial"/>
                <w:sz w:val="14"/>
                <w:szCs w:val="14"/>
                <w:b w:val="1"/>
                <w:bCs w:val="1"/>
                <w:color w:val="auto"/>
              </w:rPr>
              <w:t>(I.R.S. Employer</w:t>
            </w:r>
          </w:p>
        </w:tc>
      </w:tr>
      <w:tr>
        <w:trPr>
          <w:trHeight w:val="202"/>
        </w:trPr>
        <w:tc>
          <w:tcPr>
            <w:tcW w:w="3880" w:type="dxa"/>
            <w:vAlign w:val="bottom"/>
          </w:tcPr>
          <w:p>
            <w:pPr>
              <w:jc w:val="center"/>
              <w:ind w:left="942"/>
              <w:spacing w:after="0"/>
              <w:rPr>
                <w:sz w:val="20"/>
                <w:szCs w:val="20"/>
                <w:color w:val="auto"/>
              </w:rPr>
            </w:pPr>
            <w:r>
              <w:rPr>
                <w:rFonts w:ascii="Arial" w:cs="Arial" w:eastAsia="Arial" w:hAnsi="Arial"/>
                <w:sz w:val="14"/>
                <w:szCs w:val="14"/>
                <w:b w:val="1"/>
                <w:bCs w:val="1"/>
                <w:color w:val="auto"/>
              </w:rPr>
              <w:t>incorporation or organization)</w:t>
            </w:r>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40" w:type="dxa"/>
            <w:vAlign w:val="bottom"/>
          </w:tcPr>
          <w:p>
            <w:pPr>
              <w:jc w:val="center"/>
              <w:ind w:right="543"/>
              <w:spacing w:after="0"/>
              <w:rPr>
                <w:sz w:val="20"/>
                <w:szCs w:val="20"/>
                <w:color w:val="auto"/>
              </w:rPr>
            </w:pPr>
            <w:r>
              <w:rPr>
                <w:rFonts w:ascii="Arial" w:cs="Arial" w:eastAsia="Arial" w:hAnsi="Arial"/>
                <w:sz w:val="14"/>
                <w:szCs w:val="14"/>
                <w:b w:val="1"/>
                <w:bCs w:val="1"/>
                <w:color w:val="auto"/>
              </w:rPr>
              <w:t>Identification No.)</w:t>
            </w:r>
          </w:p>
        </w:tc>
      </w:tr>
      <w:tr>
        <w:trPr>
          <w:trHeight w:val="243"/>
        </w:trPr>
        <w:tc>
          <w:tcPr>
            <w:tcW w:w="3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161 Oyster Point Blvd.</w:t>
            </w:r>
          </w:p>
        </w:tc>
        <w:tc>
          <w:tcPr>
            <w:tcW w:w="4040" w:type="dxa"/>
            <w:vAlign w:val="bottom"/>
          </w:tcPr>
          <w:p>
            <w:pPr>
              <w:spacing w:after="0"/>
              <w:rPr>
                <w:sz w:val="21"/>
                <w:szCs w:val="21"/>
                <w:color w:val="auto"/>
              </w:rPr>
            </w:pPr>
          </w:p>
        </w:tc>
      </w:tr>
      <w:tr>
        <w:trPr>
          <w:trHeight w:val="229"/>
        </w:trPr>
        <w:tc>
          <w:tcPr>
            <w:tcW w:w="3880" w:type="dxa"/>
            <w:vAlign w:val="bottom"/>
          </w:tcPr>
          <w:p>
            <w:pPr>
              <w:spacing w:after="0"/>
              <w:rPr>
                <w:sz w:val="19"/>
                <w:szCs w:val="19"/>
                <w:color w:val="auto"/>
              </w:rPr>
            </w:pPr>
          </w:p>
        </w:tc>
        <w:tc>
          <w:tcPr>
            <w:tcW w:w="3500" w:type="dxa"/>
            <w:vAlign w:val="bottom"/>
            <w:gridSpan w:val="3"/>
          </w:tcPr>
          <w:p>
            <w:pPr>
              <w:jc w:val="center"/>
              <w:ind w:left="104"/>
              <w:spacing w:after="0"/>
              <w:rPr>
                <w:sz w:val="20"/>
                <w:szCs w:val="20"/>
                <w:color w:val="auto"/>
              </w:rPr>
            </w:pPr>
            <w:r>
              <w:rPr>
                <w:rFonts w:ascii="Arial" w:cs="Arial" w:eastAsia="Arial" w:hAnsi="Arial"/>
                <w:sz w:val="16"/>
                <w:szCs w:val="16"/>
                <w:b w:val="1"/>
                <w:bCs w:val="1"/>
                <w:color w:val="auto"/>
              </w:rPr>
              <w:t>South San Francisco, CA, 94080</w:t>
            </w:r>
          </w:p>
        </w:tc>
        <w:tc>
          <w:tcPr>
            <w:tcW w:w="4040" w:type="dxa"/>
            <w:vAlign w:val="bottom"/>
          </w:tcPr>
          <w:p>
            <w:pPr>
              <w:spacing w:after="0"/>
              <w:rPr>
                <w:sz w:val="19"/>
                <w:szCs w:val="19"/>
                <w:color w:val="auto"/>
              </w:rPr>
            </w:pPr>
          </w:p>
        </w:tc>
      </w:tr>
      <w:tr>
        <w:trPr>
          <w:trHeight w:val="215"/>
        </w:trPr>
        <w:tc>
          <w:tcPr>
            <w:tcW w:w="3880" w:type="dxa"/>
            <w:vAlign w:val="bottom"/>
          </w:tcPr>
          <w:p>
            <w:pPr>
              <w:spacing w:after="0"/>
              <w:rPr>
                <w:sz w:val="18"/>
                <w:szCs w:val="18"/>
                <w:color w:val="auto"/>
              </w:rPr>
            </w:pPr>
          </w:p>
        </w:tc>
        <w:tc>
          <w:tcPr>
            <w:tcW w:w="7540" w:type="dxa"/>
            <w:vAlign w:val="bottom"/>
            <w:gridSpan w:val="4"/>
          </w:tcPr>
          <w:p>
            <w:pPr>
              <w:jc w:val="center"/>
              <w:ind w:right="3783"/>
              <w:spacing w:after="0"/>
              <w:rPr>
                <w:sz w:val="20"/>
                <w:szCs w:val="20"/>
                <w:color w:val="auto"/>
              </w:rPr>
            </w:pPr>
            <w:r>
              <w:rPr>
                <w:rFonts w:ascii="Arial" w:cs="Arial" w:eastAsia="Arial" w:hAnsi="Arial"/>
                <w:sz w:val="14"/>
                <w:szCs w:val="14"/>
                <w:b w:val="1"/>
                <w:bCs w:val="1"/>
                <w:color w:val="auto"/>
              </w:rPr>
              <w:t>(Address of principal executive offices and zip code)</w:t>
            </w:r>
          </w:p>
        </w:tc>
      </w:tr>
      <w:tr>
        <w:trPr>
          <w:trHeight w:val="284"/>
        </w:trPr>
        <w:tc>
          <w:tcPr>
            <w:tcW w:w="3880" w:type="dxa"/>
            <w:vAlign w:val="bottom"/>
          </w:tcPr>
          <w:p>
            <w:pPr>
              <w:spacing w:after="0"/>
              <w:rPr>
                <w:sz w:val="24"/>
                <w:szCs w:val="24"/>
                <w:color w:val="auto"/>
              </w:rPr>
            </w:pPr>
          </w:p>
        </w:tc>
        <w:tc>
          <w:tcPr>
            <w:tcW w:w="312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(650) 866-8548</w:t>
            </w:r>
          </w:p>
        </w:tc>
        <w:tc>
          <w:tcPr>
            <w:tcW w:w="3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51"/>
        </w:trPr>
        <w:tc>
          <w:tcPr>
            <w:tcW w:w="3880" w:type="dxa"/>
            <w:vAlign w:val="bottom"/>
          </w:tcPr>
          <w:p>
            <w:pPr>
              <w:spacing w:after="0"/>
              <w:rPr>
                <w:sz w:val="13"/>
                <w:szCs w:val="13"/>
                <w:color w:val="auto"/>
              </w:rPr>
            </w:pPr>
          </w:p>
        </w:tc>
        <w:tc>
          <w:tcPr>
            <w:tcW w:w="7540" w:type="dxa"/>
            <w:vAlign w:val="bottom"/>
            <w:gridSpan w:val="4"/>
          </w:tcPr>
          <w:p>
            <w:pPr>
              <w:jc w:val="center"/>
              <w:ind w:right="3783"/>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194"/>
        </w:trPr>
        <w:tc>
          <w:tcPr>
            <w:tcW w:w="3880" w:type="dxa"/>
            <w:vAlign w:val="bottom"/>
          </w:tcPr>
          <w:p>
            <w:pPr>
              <w:spacing w:after="0"/>
              <w:rPr>
                <w:sz w:val="16"/>
                <w:szCs w:val="16"/>
                <w:color w:val="auto"/>
              </w:rPr>
            </w:pPr>
          </w:p>
        </w:tc>
        <w:tc>
          <w:tcPr>
            <w:tcW w:w="3500" w:type="dxa"/>
            <w:vAlign w:val="bottom"/>
            <w:gridSpan w:val="3"/>
          </w:tcPr>
          <w:p>
            <w:pPr>
              <w:jc w:val="right"/>
              <w:ind w:right="100"/>
              <w:spacing w:after="0"/>
              <w:rPr>
                <w:sz w:val="20"/>
                <w:szCs w:val="20"/>
                <w:color w:val="auto"/>
              </w:rPr>
            </w:pPr>
            <w:r>
              <w:rPr>
                <w:rFonts w:ascii="Arial" w:cs="Arial" w:eastAsia="Arial" w:hAnsi="Arial"/>
                <w:sz w:val="14"/>
                <w:szCs w:val="14"/>
                <w:color w:val="auto"/>
              </w:rPr>
              <w:t>_______________________________________</w:t>
            </w:r>
          </w:p>
        </w:tc>
        <w:tc>
          <w:tcPr>
            <w:tcW w:w="4040" w:type="dxa"/>
            <w:vAlign w:val="bottom"/>
          </w:tcPr>
          <w:p>
            <w:pPr>
              <w:spacing w:after="0"/>
              <w:rPr>
                <w:sz w:val="16"/>
                <w:szCs w:val="16"/>
                <w:color w:val="auto"/>
              </w:rPr>
            </w:pPr>
          </w:p>
        </w:tc>
      </w:tr>
      <w:tr>
        <w:trPr>
          <w:trHeight w:val="276"/>
        </w:trPr>
        <w:tc>
          <w:tcPr>
            <w:tcW w:w="7380" w:type="dxa"/>
            <w:vAlign w:val="bottom"/>
            <w:gridSpan w:val="4"/>
          </w:tcPr>
          <w:p>
            <w:pPr>
              <w:ind w:left="340"/>
              <w:spacing w:after="0"/>
              <w:rPr>
                <w:sz w:val="20"/>
                <w:szCs w:val="20"/>
                <w:color w:val="auto"/>
              </w:rPr>
            </w:pPr>
            <w:r>
              <w:rPr>
                <w:rFonts w:ascii="Arial" w:cs="Arial" w:eastAsia="Arial" w:hAnsi="Arial"/>
                <w:sz w:val="16"/>
                <w:szCs w:val="16"/>
                <w:color w:val="auto"/>
              </w:rPr>
              <w:t>Securities registered pursuant to Section 12(b) of the Act:</w:t>
            </w:r>
          </w:p>
        </w:tc>
        <w:tc>
          <w:tcPr>
            <w:tcW w:w="4040" w:type="dxa"/>
            <w:vAlign w:val="bottom"/>
          </w:tcPr>
          <w:p>
            <w:pPr>
              <w:spacing w:after="0"/>
              <w:rPr>
                <w:sz w:val="24"/>
                <w:szCs w:val="24"/>
                <w:color w:val="auto"/>
              </w:rPr>
            </w:pPr>
          </w:p>
        </w:tc>
      </w:tr>
      <w:tr>
        <w:trPr>
          <w:trHeight w:val="83"/>
        </w:trPr>
        <w:tc>
          <w:tcPr>
            <w:tcW w:w="3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40" w:type="dxa"/>
            <w:vAlign w:val="bottom"/>
            <w:tcBorders>
              <w:bottom w:val="single" w:sz="8" w:color="auto"/>
            </w:tcBorders>
          </w:tcPr>
          <w:p>
            <w:pPr>
              <w:spacing w:after="0"/>
              <w:rPr>
                <w:sz w:val="7"/>
                <w:szCs w:val="7"/>
                <w:color w:val="auto"/>
              </w:rPr>
            </w:pPr>
          </w:p>
        </w:tc>
      </w:tr>
      <w:tr>
        <w:trPr>
          <w:trHeight w:val="233"/>
        </w:trPr>
        <w:tc>
          <w:tcPr>
            <w:tcW w:w="3880" w:type="dxa"/>
            <w:vAlign w:val="bottom"/>
            <w:tcBorders>
              <w:left w:val="single" w:sz="8" w:color="auto"/>
              <w:bottom w:val="single" w:sz="8" w:color="auto"/>
            </w:tcBorders>
          </w:tcPr>
          <w:p>
            <w:pPr>
              <w:jc w:val="center"/>
              <w:ind w:left="702"/>
              <w:spacing w:after="0"/>
              <w:rPr>
                <w:sz w:val="20"/>
                <w:szCs w:val="20"/>
                <w:color w:val="auto"/>
              </w:rPr>
            </w:pPr>
            <w:r>
              <w:rPr>
                <w:rFonts w:ascii="Arial" w:cs="Arial" w:eastAsia="Arial" w:hAnsi="Arial"/>
                <w:sz w:val="16"/>
                <w:szCs w:val="16"/>
                <w:b w:val="1"/>
                <w:bCs w:val="1"/>
                <w:color w:val="auto"/>
              </w:rPr>
              <w:t>Title of each class</w:t>
            </w:r>
          </w:p>
        </w:tc>
        <w:tc>
          <w:tcPr>
            <w:tcW w:w="78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38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jc w:val="center"/>
              <w:ind w:right="343"/>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4"/>
        </w:trPr>
        <w:tc>
          <w:tcPr>
            <w:tcW w:w="3880" w:type="dxa"/>
            <w:vAlign w:val="bottom"/>
            <w:tcBorders>
              <w:left w:val="single" w:sz="8" w:color="auto"/>
              <w:bottom w:val="single" w:sz="8" w:color="auto"/>
            </w:tcBorders>
          </w:tcPr>
          <w:p>
            <w:pPr>
              <w:jc w:val="center"/>
              <w:ind w:left="702"/>
              <w:spacing w:after="0"/>
              <w:rPr>
                <w:sz w:val="20"/>
                <w:szCs w:val="20"/>
                <w:color w:val="auto"/>
              </w:rPr>
            </w:pPr>
            <w:r>
              <w:rPr>
                <w:rFonts w:ascii="Arial" w:cs="Arial" w:eastAsia="Arial" w:hAnsi="Arial"/>
                <w:sz w:val="16"/>
                <w:szCs w:val="16"/>
                <w:color w:val="auto"/>
              </w:rPr>
              <w:t>Common Stock, par value $0.01 per share</w:t>
            </w:r>
          </w:p>
        </w:tc>
        <w:tc>
          <w:tcPr>
            <w:tcW w:w="78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38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jc w:val="center"/>
              <w:ind w:right="323"/>
              <w:spacing w:after="0"/>
              <w:rPr>
                <w:sz w:val="20"/>
                <w:szCs w:val="20"/>
                <w:color w:val="auto"/>
              </w:rPr>
            </w:pPr>
            <w:r>
              <w:rPr>
                <w:rFonts w:ascii="Arial" w:cs="Arial" w:eastAsia="Arial" w:hAnsi="Arial"/>
                <w:sz w:val="16"/>
                <w:szCs w:val="16"/>
                <w:color w:val="auto"/>
              </w:rPr>
              <w:t>NASDAQ Global Select Market</w:t>
            </w:r>
          </w:p>
        </w:tc>
      </w:tr>
    </w:tbl>
    <w:p>
      <w:pPr>
        <w:spacing w:after="0" w:line="90" w:lineRule="exact"/>
        <w:rPr>
          <w:sz w:val="24"/>
          <w:szCs w:val="24"/>
          <w:color w:val="auto"/>
        </w:rPr>
      </w:pPr>
    </w:p>
    <w:p>
      <w:pPr>
        <w:ind w:right="30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34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20"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3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3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80" w:type="dxa"/>
            <w:vAlign w:val="bottom"/>
          </w:tcPr>
          <w:p>
            <w:pPr>
              <w:ind w:left="33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180" w:firstLine="324"/>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340" w:right="1680"/>
        <w:spacing w:after="0" w:line="24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outstanding shares of the registrant’s common stock as of October 30, 2019 was 96,031,223.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237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40" w:type="dxa"/>
            <w:vAlign w:val="bottom"/>
            <w:gridSpan w:val="9"/>
          </w:tcPr>
          <w:p>
            <w:pPr>
              <w:ind w:left="320"/>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7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3760" w:type="dxa"/>
            <w:vAlign w:val="bottom"/>
            <w:gridSpan w:val="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 (Unaudited)</w:t>
              </w:r>
            </w:hyperlink>
          </w:p>
        </w:tc>
        <w:tc>
          <w:tcPr>
            <w:tcW w:w="2620" w:type="dxa"/>
            <w:vAlign w:val="bottom"/>
            <w:tcBorders>
              <w:top w:val="single" w:sz="8" w:color="0000FF"/>
            </w:tcBorders>
            <w:gridSpan w:val="6"/>
          </w:tcPr>
          <w:p>
            <w:pPr>
              <w:spacing w:after="0"/>
              <w:rPr>
                <w:sz w:val="23"/>
                <w:szCs w:val="23"/>
                <w:color w:val="auto"/>
              </w:rPr>
            </w:pPr>
          </w:p>
        </w:tc>
        <w:tc>
          <w:tcPr>
            <w:tcW w:w="326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w:t>
              </w:r>
            </w:hyperlink>
          </w:p>
        </w:tc>
        <w:tc>
          <w:tcPr>
            <w:tcW w:w="66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gridSpan w:val="12"/>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and Comprehensive Loss</w:t>
              </w:r>
            </w:hyperlink>
          </w:p>
        </w:tc>
        <w:tc>
          <w:tcPr>
            <w:tcW w:w="70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Stockholders’ Equity</w:t>
              </w:r>
            </w:hyperlink>
          </w:p>
        </w:tc>
        <w:tc>
          <w:tcPr>
            <w:tcW w:w="1200" w:type="dxa"/>
            <w:vAlign w:val="bottom"/>
            <w:tcBorders>
              <w:top w:val="single" w:sz="8" w:color="0000FF"/>
            </w:tcBorders>
          </w:tcPr>
          <w:p>
            <w:pPr>
              <w:spacing w:after="0"/>
              <w:rPr>
                <w:sz w:val="17"/>
                <w:szCs w:val="17"/>
                <w:color w:val="auto"/>
              </w:rPr>
            </w:pPr>
          </w:p>
        </w:tc>
        <w:tc>
          <w:tcPr>
            <w:tcW w:w="4060" w:type="dxa"/>
            <w:vAlign w:val="bottom"/>
            <w:gridSpan w:val="3"/>
          </w:tcPr>
          <w:p>
            <w:pPr>
              <w:spacing w:after="0"/>
              <w:rPr>
                <w:sz w:val="17"/>
                <w:szCs w:val="17"/>
                <w:color w:val="auto"/>
              </w:rPr>
            </w:pPr>
          </w:p>
        </w:tc>
        <w:tc>
          <w:tcPr>
            <w:tcW w:w="600" w:type="dxa"/>
            <w:vAlign w:val="bottom"/>
            <w:gridSpan w:val="3"/>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760" w:type="dxa"/>
            <w:vAlign w:val="bottom"/>
            <w:tcBorders>
              <w:bottom w:val="single" w:sz="8" w:color="0000FF"/>
            </w:tcBorders>
            <w:gridSpan w:val="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w:t>
              </w:r>
            </w:hyperlink>
          </w:p>
        </w:tc>
        <w:tc>
          <w:tcPr>
            <w:tcW w:w="5880" w:type="dxa"/>
            <w:vAlign w:val="bottom"/>
            <w:gridSpan w:val="7"/>
          </w:tcPr>
          <w:p>
            <w:pPr>
              <w:spacing w:after="0"/>
              <w:rPr>
                <w:sz w:val="17"/>
                <w:szCs w:val="17"/>
                <w:color w:val="auto"/>
              </w:rPr>
            </w:pPr>
          </w:p>
        </w:tc>
        <w:tc>
          <w:tcPr>
            <w:tcW w:w="60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964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70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6380" w:type="dxa"/>
            <w:vAlign w:val="bottom"/>
            <w:gridSpan w:val="11"/>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Discussion and Analysis of Financial Condition and Results of Operations</w:t>
              </w:r>
            </w:hyperlink>
          </w:p>
        </w:tc>
        <w:tc>
          <w:tcPr>
            <w:tcW w:w="3260" w:type="dxa"/>
            <w:vAlign w:val="bottom"/>
          </w:tcPr>
          <w:p>
            <w:pPr>
              <w:spacing w:after="0"/>
              <w:rPr>
                <w:sz w:val="17"/>
                <w:szCs w:val="17"/>
                <w:color w:val="auto"/>
              </w:rPr>
            </w:pPr>
          </w:p>
        </w:tc>
        <w:tc>
          <w:tcPr>
            <w:tcW w:w="700" w:type="dxa"/>
            <w:vAlign w:val="bottom"/>
            <w:gridSpan w:val="4"/>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1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6380" w:type="dxa"/>
            <w:vAlign w:val="bottom"/>
            <w:gridSpan w:val="11"/>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Quantitative and Qualitative Disclosures About Market Risk</w:t>
              </w:r>
            </w:hyperlink>
          </w:p>
        </w:tc>
        <w:tc>
          <w:tcPr>
            <w:tcW w:w="3260" w:type="dxa"/>
            <w:vAlign w:val="bottom"/>
          </w:tcPr>
          <w:p>
            <w:pPr>
              <w:spacing w:after="0"/>
              <w:rPr>
                <w:sz w:val="17"/>
                <w:szCs w:val="17"/>
                <w:color w:val="auto"/>
              </w:rPr>
            </w:pPr>
          </w:p>
        </w:tc>
        <w:tc>
          <w:tcPr>
            <w:tcW w:w="70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1800" w:type="dxa"/>
            <w:vAlign w:val="bottom"/>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0" w:type="dxa"/>
            <w:vAlign w:val="bottom"/>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Controls and Procedures</w:t>
              </w:r>
            </w:hyperlink>
          </w:p>
        </w:tc>
        <w:tc>
          <w:tcPr>
            <w:tcW w:w="2440" w:type="dxa"/>
            <w:vAlign w:val="bottom"/>
            <w:gridSpan w:val="6"/>
          </w:tcPr>
          <w:p>
            <w:pPr>
              <w:spacing w:after="0"/>
              <w:rPr>
                <w:sz w:val="17"/>
                <w:szCs w:val="17"/>
                <w:color w:val="auto"/>
              </w:rPr>
            </w:pPr>
          </w:p>
        </w:tc>
        <w:tc>
          <w:tcPr>
            <w:tcW w:w="5400" w:type="dxa"/>
            <w:vAlign w:val="bottom"/>
            <w:gridSpan w:val="5"/>
          </w:tcPr>
          <w:p>
            <w:pPr>
              <w:spacing w:after="0"/>
              <w:rPr>
                <w:sz w:val="17"/>
                <w:szCs w:val="17"/>
                <w:color w:val="auto"/>
              </w:rPr>
            </w:pPr>
          </w:p>
        </w:tc>
        <w:tc>
          <w:tcPr>
            <w:tcW w:w="700" w:type="dxa"/>
            <w:vAlign w:val="bottom"/>
            <w:gridSpan w:val="4"/>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1.</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tcBorders>
              <w:bottom w:val="single" w:sz="8" w:color="0000FF"/>
            </w:tcBorders>
            <w:gridSpan w:val="2"/>
          </w:tcPr>
          <w:p>
            <w:pPr>
              <w:spacing w:after="0"/>
              <w:rPr>
                <w:rFonts w:ascii="Arial" w:cs="Arial" w:eastAsia="Arial" w:hAnsi="Arial"/>
                <w:sz w:val="16"/>
                <w:szCs w:val="16"/>
                <w:b w:val="1"/>
                <w:bCs w:val="1"/>
                <w:color w:val="0000FF"/>
                <w:w w:val="99"/>
              </w:rPr>
            </w:pPr>
            <w:hyperlink w:anchor="page44">
              <w:r>
                <w:rPr>
                  <w:rFonts w:ascii="Arial" w:cs="Arial" w:eastAsia="Arial" w:hAnsi="Arial"/>
                  <w:sz w:val="16"/>
                  <w:szCs w:val="16"/>
                  <w:b w:val="1"/>
                  <w:bCs w:val="1"/>
                  <w:color w:val="0000FF"/>
                  <w:w w:val="99"/>
                </w:rPr>
                <w:t>PART II. OTHER INFORMATION</w:t>
              </w:r>
            </w:hyperlink>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0060" w:type="dxa"/>
            <w:vAlign w:val="bottom"/>
            <w:gridSpan w:val="11"/>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Legal Proceedings</w:t>
              </w:r>
            </w:hyperlink>
          </w:p>
        </w:tc>
        <w:tc>
          <w:tcPr>
            <w:tcW w:w="280" w:type="dxa"/>
            <w:vAlign w:val="bottom"/>
            <w:gridSpan w:val="2"/>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1A.</w:t>
            </w: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900" w:type="dxa"/>
            <w:vAlign w:val="bottom"/>
            <w:gridSpan w:val="3"/>
          </w:tcPr>
          <w:p>
            <w:pPr>
              <w:spacing w:after="0"/>
              <w:rPr>
                <w:rFonts w:ascii="Arial" w:cs="Arial" w:eastAsia="Arial" w:hAnsi="Arial"/>
                <w:sz w:val="16"/>
                <w:szCs w:val="16"/>
                <w:color w:val="0000FF"/>
                <w:w w:val="98"/>
              </w:rPr>
            </w:pPr>
            <w:hyperlink w:anchor="page45">
              <w:r>
                <w:rPr>
                  <w:rFonts w:ascii="Arial" w:cs="Arial" w:eastAsia="Arial" w:hAnsi="Arial"/>
                  <w:sz w:val="16"/>
                  <w:szCs w:val="16"/>
                  <w:color w:val="0000FF"/>
                  <w:w w:val="98"/>
                </w:rPr>
                <w:t>Risk Factors</w:t>
              </w:r>
            </w:hyperlink>
          </w:p>
        </w:tc>
        <w:tc>
          <w:tcPr>
            <w:tcW w:w="440" w:type="dxa"/>
            <w:vAlign w:val="bottom"/>
            <w:gridSpan w:val="2"/>
          </w:tcPr>
          <w:p>
            <w:pPr>
              <w:spacing w:after="0"/>
              <w:rPr>
                <w:sz w:val="17"/>
                <w:szCs w:val="17"/>
                <w:color w:val="auto"/>
              </w:rPr>
            </w:pPr>
          </w:p>
        </w:tc>
        <w:tc>
          <w:tcPr>
            <w:tcW w:w="8720" w:type="dxa"/>
            <w:vAlign w:val="bottom"/>
            <w:gridSpan w:val="6"/>
          </w:tcPr>
          <w:p>
            <w:pPr>
              <w:spacing w:after="0"/>
              <w:rPr>
                <w:sz w:val="17"/>
                <w:szCs w:val="17"/>
                <w:color w:val="auto"/>
              </w:rPr>
            </w:pPr>
          </w:p>
        </w:tc>
        <w:tc>
          <w:tcPr>
            <w:tcW w:w="280" w:type="dxa"/>
            <w:vAlign w:val="bottom"/>
            <w:gridSpan w:val="2"/>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0060" w:type="dxa"/>
            <w:vAlign w:val="bottom"/>
            <w:gridSpan w:val="11"/>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Unregistered Sales of Equity Securities and Use of Proceeds</w:t>
              </w:r>
            </w:hyperlink>
          </w:p>
        </w:tc>
        <w:tc>
          <w:tcPr>
            <w:tcW w:w="280" w:type="dxa"/>
            <w:vAlign w:val="bottom"/>
            <w:gridSpan w:val="2"/>
          </w:tcPr>
          <w:p>
            <w:pPr>
              <w:jc w:val="right"/>
              <w:spacing w:after="0"/>
              <w:rPr>
                <w:rFonts w:ascii="Arial" w:cs="Arial" w:eastAsia="Arial" w:hAnsi="Arial"/>
                <w:sz w:val="16"/>
                <w:szCs w:val="16"/>
                <w:color w:val="0000FF"/>
                <w:w w:val="97"/>
              </w:rPr>
            </w:pPr>
            <w:hyperlink w:anchor="page102">
              <w:r>
                <w:rPr>
                  <w:rFonts w:ascii="Arial" w:cs="Arial" w:eastAsia="Arial" w:hAnsi="Arial"/>
                  <w:sz w:val="16"/>
                  <w:szCs w:val="16"/>
                  <w:color w:val="0000FF"/>
                  <w:w w:val="97"/>
                </w:rPr>
                <w:t>102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Defaults Upon Senior Securities</w:t>
              </w:r>
            </w:hyperlink>
          </w:p>
        </w:tc>
        <w:tc>
          <w:tcPr>
            <w:tcW w:w="2060" w:type="dxa"/>
            <w:vAlign w:val="bottom"/>
            <w:tcBorders>
              <w:top w:val="single" w:sz="8" w:color="0000FF"/>
            </w:tcBorders>
            <w:gridSpan w:val="2"/>
          </w:tcPr>
          <w:p>
            <w:pPr>
              <w:spacing w:after="0"/>
              <w:rPr>
                <w:sz w:val="17"/>
                <w:szCs w:val="17"/>
                <w:color w:val="auto"/>
              </w:rPr>
            </w:pPr>
          </w:p>
        </w:tc>
        <w:tc>
          <w:tcPr>
            <w:tcW w:w="5700" w:type="dxa"/>
            <w:vAlign w:val="bottom"/>
            <w:gridSpan w:val="2"/>
          </w:tcPr>
          <w:p>
            <w:pPr>
              <w:spacing w:after="0"/>
              <w:rPr>
                <w:sz w:val="17"/>
                <w:szCs w:val="17"/>
                <w:color w:val="auto"/>
              </w:rPr>
            </w:pPr>
          </w:p>
        </w:tc>
        <w:tc>
          <w:tcPr>
            <w:tcW w:w="2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97"/>
              </w:rPr>
            </w:pPr>
            <w:hyperlink w:anchor="page103">
              <w:r>
                <w:rPr>
                  <w:rFonts w:ascii="Arial" w:cs="Arial" w:eastAsia="Arial" w:hAnsi="Arial"/>
                  <w:sz w:val="16"/>
                  <w:szCs w:val="16"/>
                  <w:color w:val="0000FF"/>
                  <w:w w:val="97"/>
                </w:rPr>
                <w:t>103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Mine Safety Disclosures</w:t>
              </w:r>
            </w:hyperlink>
          </w:p>
        </w:tc>
        <w:tc>
          <w:tcPr>
            <w:tcW w:w="8320" w:type="dxa"/>
            <w:vAlign w:val="bottom"/>
            <w:gridSpan w:val="5"/>
          </w:tcPr>
          <w:p>
            <w:pPr>
              <w:spacing w:after="0"/>
              <w:rPr>
                <w:sz w:val="17"/>
                <w:szCs w:val="17"/>
                <w:color w:val="auto"/>
              </w:rPr>
            </w:pPr>
          </w:p>
        </w:tc>
        <w:tc>
          <w:tcPr>
            <w:tcW w:w="280" w:type="dxa"/>
            <w:vAlign w:val="bottom"/>
            <w:tcBorders>
              <w:bottom w:val="single" w:sz="8" w:color="0000FF"/>
            </w:tcBorders>
            <w:gridSpan w:val="2"/>
          </w:tcPr>
          <w:p>
            <w:pPr>
              <w:jc w:val="right"/>
              <w:spacing w:after="0"/>
              <w:rPr>
                <w:rFonts w:ascii="Arial" w:cs="Arial" w:eastAsia="Arial" w:hAnsi="Arial"/>
                <w:sz w:val="16"/>
                <w:szCs w:val="16"/>
                <w:color w:val="0000FF"/>
                <w:w w:val="97"/>
              </w:rPr>
            </w:pPr>
            <w:hyperlink w:anchor="page103">
              <w:r>
                <w:rPr>
                  <w:rFonts w:ascii="Arial" w:cs="Arial" w:eastAsia="Arial" w:hAnsi="Arial"/>
                  <w:sz w:val="16"/>
                  <w:szCs w:val="16"/>
                  <w:color w:val="0000FF"/>
                  <w:w w:val="97"/>
                </w:rPr>
                <w:t>103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0060" w:type="dxa"/>
            <w:vAlign w:val="bottom"/>
            <w:gridSpan w:val="11"/>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Other Information</w:t>
              </w:r>
            </w:hyperlink>
          </w:p>
        </w:tc>
        <w:tc>
          <w:tcPr>
            <w:tcW w:w="280" w:type="dxa"/>
            <w:vAlign w:val="bottom"/>
            <w:gridSpan w:val="2"/>
          </w:tcPr>
          <w:p>
            <w:pPr>
              <w:jc w:val="right"/>
              <w:spacing w:after="0"/>
              <w:rPr>
                <w:rFonts w:ascii="Arial" w:cs="Arial" w:eastAsia="Arial" w:hAnsi="Arial"/>
                <w:sz w:val="16"/>
                <w:szCs w:val="16"/>
                <w:color w:val="0000FF"/>
                <w:w w:val="97"/>
              </w:rPr>
            </w:pPr>
            <w:hyperlink w:anchor="page103">
              <w:r>
                <w:rPr>
                  <w:rFonts w:ascii="Arial" w:cs="Arial" w:eastAsia="Arial" w:hAnsi="Arial"/>
                  <w:sz w:val="16"/>
                  <w:szCs w:val="16"/>
                  <w:color w:val="0000FF"/>
                  <w:w w:val="97"/>
                </w:rPr>
                <w:t>103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260" w:type="dxa"/>
            <w:vAlign w:val="bottom"/>
            <w:tcBorders>
              <w:top w:val="single" w:sz="8" w:color="0000FF"/>
            </w:tcBorders>
            <w:gridSpan w:val="4"/>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Exhibits</w:t>
              </w:r>
            </w:hyperlink>
          </w:p>
        </w:tc>
        <w:tc>
          <w:tcPr>
            <w:tcW w:w="8800" w:type="dxa"/>
            <w:vAlign w:val="bottom"/>
            <w:gridSpan w:val="7"/>
          </w:tcPr>
          <w:p>
            <w:pPr>
              <w:spacing w:after="0"/>
              <w:rPr>
                <w:sz w:val="17"/>
                <w:szCs w:val="17"/>
                <w:color w:val="auto"/>
              </w:rPr>
            </w:pPr>
          </w:p>
        </w:tc>
        <w:tc>
          <w:tcPr>
            <w:tcW w:w="280" w:type="dxa"/>
            <w:vAlign w:val="bottom"/>
            <w:tcBorders>
              <w:top w:val="single" w:sz="8" w:color="0000FF"/>
            </w:tcBorders>
            <w:gridSpan w:val="2"/>
          </w:tcPr>
          <w:p>
            <w:pPr>
              <w:jc w:val="right"/>
              <w:spacing w:after="0"/>
              <w:rPr>
                <w:rFonts w:ascii="Arial" w:cs="Arial" w:eastAsia="Arial" w:hAnsi="Arial"/>
                <w:sz w:val="16"/>
                <w:szCs w:val="16"/>
                <w:color w:val="0000FF"/>
                <w:w w:val="97"/>
              </w:rPr>
            </w:pPr>
            <w:hyperlink w:anchor="page103">
              <w:r>
                <w:rPr>
                  <w:rFonts w:ascii="Arial" w:cs="Arial" w:eastAsia="Arial" w:hAnsi="Arial"/>
                  <w:sz w:val="16"/>
                  <w:szCs w:val="16"/>
                  <w:color w:val="0000FF"/>
                  <w:w w:val="97"/>
                </w:rPr>
                <w:t>104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80" w:type="dxa"/>
            <w:vAlign w:val="bottom"/>
            <w:gridSpan w:val="9"/>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104">
              <w:r>
                <w:rPr>
                  <w:rFonts w:ascii="Arial" w:cs="Arial" w:eastAsia="Arial" w:hAnsi="Arial"/>
                  <w:sz w:val="16"/>
                  <w:szCs w:val="16"/>
                  <w:color w:val="0000FF"/>
                  <w:w w:val="99"/>
                </w:rPr>
                <w:t>Signatures</w:t>
              </w:r>
            </w:hyperlink>
          </w:p>
        </w:tc>
        <w:tc>
          <w:tcPr>
            <w:tcW w:w="9280" w:type="dxa"/>
            <w:vAlign w:val="bottom"/>
            <w:gridSpan w:val="9"/>
          </w:tcPr>
          <w:p>
            <w:pPr>
              <w:spacing w:after="0"/>
              <w:rPr>
                <w:sz w:val="17"/>
                <w:szCs w:val="17"/>
                <w:color w:val="auto"/>
              </w:rPr>
            </w:pPr>
          </w:p>
        </w:tc>
        <w:tc>
          <w:tcPr>
            <w:tcW w:w="280" w:type="dxa"/>
            <w:vAlign w:val="bottom"/>
            <w:tcBorders>
              <w:bottom w:val="single" w:sz="8" w:color="0000FF"/>
            </w:tcBorders>
            <w:gridSpan w:val="2"/>
          </w:tcPr>
          <w:p>
            <w:pPr>
              <w:jc w:val="right"/>
              <w:spacing w:after="0"/>
              <w:rPr>
                <w:rFonts w:ascii="Arial" w:cs="Arial" w:eastAsia="Arial" w:hAnsi="Arial"/>
                <w:sz w:val="16"/>
                <w:szCs w:val="16"/>
                <w:color w:val="0000FF"/>
                <w:w w:val="97"/>
              </w:rPr>
            </w:pPr>
            <w:hyperlink w:anchor="page104">
              <w:r>
                <w:rPr>
                  <w:rFonts w:ascii="Arial" w:cs="Arial" w:eastAsia="Arial" w:hAnsi="Arial"/>
                  <w:sz w:val="16"/>
                  <w:szCs w:val="16"/>
                  <w:color w:val="0000FF"/>
                  <w:w w:val="97"/>
                </w:rPr>
                <w:t>105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87"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Denali Therapeutics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7"/>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77,123</w:t>
            </w:r>
          </w:p>
        </w:tc>
        <w:tc>
          <w:tcPr>
            <w:tcW w:w="0" w:type="dxa"/>
            <w:vAlign w:val="bottom"/>
          </w:tcPr>
          <w:p>
            <w:pPr>
              <w:spacing w:after="0"/>
              <w:rPr>
                <w:sz w:val="1"/>
                <w:szCs w:val="1"/>
                <w:color w:val="auto"/>
              </w:rPr>
            </w:pPr>
          </w:p>
        </w:tc>
      </w:tr>
      <w:tr>
        <w:trPr>
          <w:trHeight w:val="212"/>
        </w:trPr>
        <w:tc>
          <w:tcPr>
            <w:tcW w:w="750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396,717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387,174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16,539</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494,377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480,836</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147,881</w:t>
            </w: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47,481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25,162</w:t>
            </w:r>
          </w:p>
        </w:tc>
        <w:tc>
          <w:tcPr>
            <w:tcW w:w="0" w:type="dxa"/>
            <w:vAlign w:val="bottom"/>
          </w:tcPr>
          <w:p>
            <w:pPr>
              <w:spacing w:after="0"/>
              <w:rPr>
                <w:sz w:val="1"/>
                <w:szCs w:val="1"/>
                <w:color w:val="auto"/>
              </w:rPr>
            </w:pP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23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602,978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661,984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20"/>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212"/>
        </w:trPr>
        <w:tc>
          <w:tcPr>
            <w:tcW w:w="75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7,528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9,952</w:t>
            </w:r>
          </w:p>
        </w:tc>
        <w:tc>
          <w:tcPr>
            <w:tcW w:w="0" w:type="dxa"/>
            <w:vAlign w:val="bottom"/>
          </w:tcPr>
          <w:p>
            <w:pPr>
              <w:spacing w:after="0"/>
              <w:rPr>
                <w:sz w:val="1"/>
                <w:szCs w:val="1"/>
                <w:color w:val="auto"/>
              </w:rPr>
            </w:pPr>
          </w:p>
        </w:tc>
      </w:tr>
      <w:tr>
        <w:trPr>
          <w:trHeight w:val="220"/>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11,427</w:t>
            </w:r>
          </w:p>
        </w:tc>
        <w:tc>
          <w:tcPr>
            <w:tcW w:w="0" w:type="dxa"/>
            <w:vAlign w:val="bottom"/>
          </w:tcPr>
          <w:p>
            <w:pPr>
              <w:spacing w:after="0"/>
              <w:rPr>
                <w:sz w:val="1"/>
                <w:szCs w:val="1"/>
                <w:color w:val="auto"/>
              </w:rPr>
            </w:pPr>
          </w:p>
        </w:tc>
      </w:tr>
      <w:tr>
        <w:trPr>
          <w:trHeight w:val="212"/>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32,786</w:t>
            </w: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Arial" w:cs="Arial" w:eastAsia="Arial" w:hAnsi="Arial"/>
                <w:sz w:val="14"/>
                <w:szCs w:val="14"/>
                <w:color w:val="auto"/>
              </w:rPr>
              <w:t>Contract liabilities, less current portion</w:t>
            </w:r>
          </w:p>
        </w:tc>
        <w:tc>
          <w:tcPr>
            <w:tcW w:w="18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47,795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57,350</w:t>
            </w:r>
          </w:p>
        </w:tc>
        <w:tc>
          <w:tcPr>
            <w:tcW w:w="0" w:type="dxa"/>
            <w:vAlign w:val="bottom"/>
          </w:tcPr>
          <w:p>
            <w:pPr>
              <w:spacing w:after="0"/>
              <w:rPr>
                <w:sz w:val="1"/>
                <w:szCs w:val="1"/>
                <w:color w:val="auto"/>
              </w:rPr>
            </w:pP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less current portion</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Arial" w:cs="Arial" w:eastAsia="Arial" w:hAnsi="Arial"/>
                <w:sz w:val="14"/>
                <w:szCs w:val="14"/>
                <w:color w:val="auto"/>
              </w:rPr>
              <w:t>Deferred rent, less current portion</w:t>
            </w:r>
          </w:p>
        </w:tc>
        <w:tc>
          <w:tcPr>
            <w:tcW w:w="1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24,532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164,781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115,139</w:t>
            </w:r>
          </w:p>
        </w:tc>
        <w:tc>
          <w:tcPr>
            <w:tcW w:w="0" w:type="dxa"/>
            <w:vAlign w:val="bottom"/>
          </w:tcPr>
          <w:p>
            <w:pPr>
              <w:spacing w:after="0"/>
              <w:rPr>
                <w:sz w:val="1"/>
                <w:szCs w:val="1"/>
                <w:color w:val="auto"/>
              </w:rPr>
            </w:pPr>
          </w:p>
        </w:tc>
      </w:tr>
      <w:tr>
        <w:trPr>
          <w:trHeight w:val="200"/>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8)</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Convertible preferred stock, $0.01 par value; 40,000,000 shares authorized as of September 30, 2019 and</w:t>
            </w:r>
          </w:p>
        </w:tc>
        <w:tc>
          <w:tcPr>
            <w:tcW w:w="180" w:type="dxa"/>
            <w:vAlign w:val="bottom"/>
            <w:shd w:val="clear" w:color="auto" w:fill="CCEEFF"/>
          </w:tcPr>
          <w:p>
            <w:pPr>
              <w:spacing w:after="0"/>
              <w:rPr>
                <w:sz w:val="13"/>
                <w:szCs w:val="13"/>
                <w:color w:val="auto"/>
              </w:rPr>
            </w:pPr>
          </w:p>
        </w:tc>
        <w:tc>
          <w:tcPr>
            <w:tcW w:w="1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2018; 0 shares issued and outstanding as of September 30, 2019 and December 31, 2018</w:t>
            </w:r>
          </w:p>
        </w:tc>
        <w:tc>
          <w:tcPr>
            <w:tcW w:w="180" w:type="dxa"/>
            <w:vAlign w:val="bottom"/>
            <w:shd w:val="clear" w:color="auto" w:fill="CCEEFF"/>
          </w:tcPr>
          <w:p>
            <w:pPr>
              <w:spacing w:after="0"/>
              <w:rPr>
                <w:sz w:val="15"/>
                <w:szCs w:val="15"/>
                <w:color w:val="auto"/>
              </w:rPr>
            </w:pPr>
          </w:p>
        </w:tc>
        <w:tc>
          <w:tcPr>
            <w:tcW w:w="1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Common stock, $0.01 par value;400,000,000 shares authorized as of September 30, 2019 and December 31,</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500" w:type="dxa"/>
            <w:vAlign w:val="bottom"/>
          </w:tcPr>
          <w:p>
            <w:pPr>
              <w:ind w:left="440"/>
              <w:spacing w:after="0" w:line="135" w:lineRule="exact"/>
              <w:rPr>
                <w:sz w:val="20"/>
                <w:szCs w:val="20"/>
                <w:color w:val="auto"/>
              </w:rPr>
            </w:pPr>
            <w:r>
              <w:rPr>
                <w:rFonts w:ascii="Arial" w:cs="Arial" w:eastAsia="Arial" w:hAnsi="Arial"/>
                <w:sz w:val="14"/>
                <w:szCs w:val="14"/>
                <w:color w:val="auto"/>
              </w:rPr>
              <w:t>2018; 95,987,607 shares and 94,662,435 shares issued and outstanding as of September 30, 2019 and</w:t>
            </w:r>
          </w:p>
        </w:tc>
        <w:tc>
          <w:tcPr>
            <w:tcW w:w="180" w:type="dxa"/>
            <w:vAlign w:val="bottom"/>
          </w:tcPr>
          <w:p>
            <w:pPr>
              <w:spacing w:after="0"/>
              <w:rPr>
                <w:sz w:val="11"/>
                <w:szCs w:val="11"/>
                <w:color w:val="auto"/>
              </w:rPr>
            </w:pPr>
          </w:p>
        </w:tc>
        <w:tc>
          <w:tcPr>
            <w:tcW w:w="1700" w:type="dxa"/>
            <w:vAlign w:val="bottom"/>
            <w:vMerge w:val="restart"/>
          </w:tcPr>
          <w:p>
            <w:pPr>
              <w:jc w:val="right"/>
              <w:ind w:right="68"/>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76"/>
        </w:trPr>
        <w:tc>
          <w:tcPr>
            <w:tcW w:w="7500" w:type="dxa"/>
            <w:vAlign w:val="bottom"/>
          </w:tcPr>
          <w:p>
            <w:pPr>
              <w:ind w:left="440"/>
              <w:spacing w:after="0"/>
              <w:rPr>
                <w:sz w:val="20"/>
                <w:szCs w:val="20"/>
                <w:color w:val="auto"/>
              </w:rPr>
            </w:pPr>
            <w:r>
              <w:rPr>
                <w:rFonts w:ascii="Arial" w:cs="Arial" w:eastAsia="Arial" w:hAnsi="Arial"/>
                <w:sz w:val="14"/>
                <w:szCs w:val="14"/>
                <w:color w:val="auto"/>
              </w:rPr>
              <w:t>December 31, 2018, respectively</w:t>
            </w:r>
          </w:p>
        </w:tc>
        <w:tc>
          <w:tcPr>
            <w:tcW w:w="1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807,875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774,158</w:t>
            </w:r>
          </w:p>
        </w:tc>
        <w:tc>
          <w:tcPr>
            <w:tcW w:w="0" w:type="dxa"/>
            <w:vAlign w:val="bottom"/>
          </w:tcPr>
          <w:p>
            <w:pPr>
              <w:spacing w:after="0"/>
              <w:rPr>
                <w:sz w:val="1"/>
                <w:szCs w:val="1"/>
                <w:color w:val="auto"/>
              </w:rPr>
            </w:pPr>
          </w:p>
        </w:tc>
      </w:tr>
      <w:tr>
        <w:trPr>
          <w:trHeight w:val="212"/>
        </w:trPr>
        <w:tc>
          <w:tcPr>
            <w:tcW w:w="750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(371,526)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(227,937)</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438,197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546,845</w:t>
            </w:r>
          </w:p>
        </w:tc>
        <w:tc>
          <w:tcPr>
            <w:tcW w:w="0" w:type="dxa"/>
            <w:vAlign w:val="bottom"/>
          </w:tcPr>
          <w:p>
            <w:pPr>
              <w:spacing w:after="0"/>
              <w:rPr>
                <w:sz w:val="1"/>
                <w:szCs w:val="1"/>
                <w:color w:val="auto"/>
              </w:rPr>
            </w:pPr>
          </w:p>
        </w:tc>
      </w:tr>
      <w:tr>
        <w:trPr>
          <w:trHeight w:val="23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602,978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661,984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Denali Therapeutics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7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4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3,484</w:t>
            </w:r>
          </w:p>
        </w:tc>
      </w:tr>
      <w:tr>
        <w:trPr>
          <w:trHeight w:val="212"/>
        </w:trPr>
        <w:tc>
          <w:tcPr>
            <w:tcW w:w="5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5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141,831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103,274</w:t>
            </w:r>
          </w:p>
        </w:tc>
      </w:tr>
      <w:tr>
        <w:trPr>
          <w:trHeight w:val="212"/>
        </w:trPr>
        <w:tc>
          <w:tcPr>
            <w:tcW w:w="54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35,601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21,304</w:t>
            </w:r>
          </w:p>
        </w:tc>
      </w:tr>
      <w:tr>
        <w:trPr>
          <w:trHeight w:val="210"/>
        </w:trPr>
        <w:tc>
          <w:tcPr>
            <w:tcW w:w="54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63,759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39,159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177,432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124,578</w:t>
            </w:r>
          </w:p>
        </w:tc>
      </w:tr>
      <w:tr>
        <w:trPr>
          <w:trHeight w:val="210"/>
        </w:trPr>
        <w:tc>
          <w:tcPr>
            <w:tcW w:w="54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(50,155)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(155,426)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(121,094)</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7,321</w:t>
            </w:r>
          </w:p>
        </w:tc>
      </w:tr>
      <w:tr>
        <w:trPr>
          <w:trHeight w:val="210"/>
        </w:trPr>
        <w:tc>
          <w:tcPr>
            <w:tcW w:w="542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(46,373)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(144,015)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(113,773)</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5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(46,260)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(35,371)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(143,589)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(113,773)</w:t>
            </w: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unrealized gain (loss) on marketable securities, net of tax</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(1,048)</w:t>
            </w:r>
          </w:p>
        </w:tc>
      </w:tr>
      <w:tr>
        <w:trPr>
          <w:trHeight w:val="23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(46,577)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(142,378)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(114,821)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Weighted average number of shares outstanding, basic and diluted</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95,859,048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93,665,231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95,449,570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92,056,812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Denali Therapeutics Inc.</w:t>
      </w:r>
    </w:p>
    <w:p>
      <w:pPr>
        <w:spacing w:after="0" w:line="11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Pr>
          <w:p>
            <w:pPr>
              <w:spacing w:after="0"/>
              <w:rPr>
                <w:sz w:val="16"/>
                <w:szCs w:val="16"/>
                <w:color w:val="auto"/>
              </w:rPr>
            </w:pPr>
          </w:p>
        </w:tc>
        <w:tc>
          <w:tcPr>
            <w:tcW w:w="216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ind w:left="20"/>
              <w:spacing w:after="0" w:line="133" w:lineRule="exact"/>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4"/>
                <w:szCs w:val="4"/>
                <w:color w:val="auto"/>
              </w:rPr>
            </w:pPr>
          </w:p>
        </w:tc>
        <w:tc>
          <w:tcPr>
            <w:tcW w:w="1560" w:type="dxa"/>
            <w:vAlign w:val="bottom"/>
            <w:gridSpan w:val="2"/>
            <w:vMerge w:val="restart"/>
          </w:tcPr>
          <w:p>
            <w:pPr>
              <w:jc w:val="center"/>
              <w:ind w:right="200"/>
              <w:spacing w:after="0" w:line="133"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280" w:type="dxa"/>
            <w:vAlign w:val="bottom"/>
            <w:gridSpan w:val="2"/>
            <w:vMerge w:val="restart"/>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1460" w:type="dxa"/>
            <w:vAlign w:val="bottom"/>
            <w:gridSpan w:val="2"/>
            <w:vMerge w:val="restart"/>
          </w:tcPr>
          <w:p>
            <w:pPr>
              <w:jc w:val="right"/>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7"/>
                <w:szCs w:val="17"/>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94,662,435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774,158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(227,937)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546,845</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Issuances under equity incentive plans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781,107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4,149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early exercised common stock</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Vesting of restricted stock awards and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419,064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29,489</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(143,589)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(143,589)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95,987,607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807,875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(371,526)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438,197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95,656,896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798,277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(325,266)</w:t>
            </w:r>
          </w:p>
        </w:tc>
        <w:tc>
          <w:tcPr>
            <w:tcW w:w="8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475,173</w:t>
            </w: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Issuances under equity incentive plans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Vesting of early exercised common stock</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8,901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(46,260)</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35"/>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95,987,607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807,875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(371,526)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438,197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87,480,362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656,660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465,796</w:t>
            </w:r>
          </w:p>
        </w:tc>
        <w:tc>
          <w:tcPr>
            <w:tcW w:w="0" w:type="dxa"/>
            <w:vAlign w:val="bottom"/>
          </w:tcPr>
          <w:p>
            <w:pPr>
              <w:spacing w:after="0"/>
              <w:rPr>
                <w:sz w:val="1"/>
                <w:szCs w:val="1"/>
                <w:color w:val="auto"/>
              </w:rPr>
            </w:pPr>
          </w:p>
        </w:tc>
      </w:tr>
      <w:tr>
        <w:trPr>
          <w:trHeight w:val="149"/>
        </w:trPr>
        <w:tc>
          <w:tcPr>
            <w:tcW w:w="342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in connection with the</w:t>
            </w: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4,214,559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94,364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8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94,406</w:t>
            </w:r>
          </w:p>
        </w:tc>
        <w:tc>
          <w:tcPr>
            <w:tcW w:w="0" w:type="dxa"/>
            <w:vAlign w:val="bottom"/>
          </w:tcPr>
          <w:p>
            <w:pPr>
              <w:spacing w:after="0"/>
              <w:rPr>
                <w:sz w:val="1"/>
                <w:szCs w:val="1"/>
                <w:color w:val="auto"/>
              </w:rPr>
            </w:pPr>
          </w:p>
        </w:tc>
      </w:tr>
      <w:tr>
        <w:trPr>
          <w:trHeight w:val="176"/>
        </w:trPr>
        <w:tc>
          <w:tcPr>
            <w:tcW w:w="3420" w:type="dxa"/>
            <w:vAlign w:val="bottom"/>
          </w:tcPr>
          <w:p>
            <w:pPr>
              <w:ind w:left="460"/>
              <w:spacing w:after="0"/>
              <w:rPr>
                <w:sz w:val="20"/>
                <w:szCs w:val="20"/>
                <w:color w:val="auto"/>
              </w:rPr>
            </w:pPr>
            <w:r>
              <w:rPr>
                <w:rFonts w:ascii="Arial" w:cs="Arial" w:eastAsia="Arial" w:hAnsi="Arial"/>
                <w:sz w:val="14"/>
                <w:szCs w:val="14"/>
                <w:color w:val="auto"/>
              </w:rPr>
              <w:t>Takeda Collaboration Agreement</w:t>
            </w: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Issuances under equity incentive plans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558,335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Vesting of early exercised common stock</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187,497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1,532,994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(113,773)</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35"/>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93,973,747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766,799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(305,470)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461,179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93,321,745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760,605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490,272</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Issuances under equity incentive plans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197,926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early exercised common stock</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407,203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5,510</w:t>
            </w: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(35,371)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(35,371)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93,973,747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766,799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(305,470)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461,179</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Denali Therapeutics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Nine Months Ended</w:t>
      </w:r>
    </w:p>
    <w:p>
      <w:pPr>
        <w:spacing w:after="0" w:line="21"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14605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(143,589)</w:t>
            </w:r>
          </w:p>
        </w:tc>
        <w:tc>
          <w:tcPr>
            <w:tcW w:w="14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(113,773)</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5,936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5,036</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Net amortization of discounts on marketable securities</w:t>
            </w: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Non-cash rent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Gain on disposal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non-cash items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(5,379)</w:t>
            </w: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and other 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Contract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57,110</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(103,933)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(43,069)</w:t>
            </w:r>
          </w:p>
        </w:tc>
        <w:tc>
          <w:tcPr>
            <w:tcW w:w="0" w:type="dxa"/>
            <w:vAlign w:val="bottom"/>
          </w:tcPr>
          <w:p>
            <w:pPr>
              <w:spacing w:after="0"/>
              <w:rPr>
                <w:sz w:val="1"/>
                <w:szCs w:val="1"/>
                <w:color w:val="auto"/>
              </w:rPr>
            </w:pPr>
          </w:p>
        </w:tc>
      </w:tr>
      <w:tr>
        <w:trPr>
          <w:trHeight w:val="169"/>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(219,139)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(400,637)</w:t>
            </w: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Maturities of marketable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339,612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176,574</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105,327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(226,019)</w:t>
            </w:r>
          </w:p>
        </w:tc>
        <w:tc>
          <w:tcPr>
            <w:tcW w:w="0" w:type="dxa"/>
            <w:vAlign w:val="bottom"/>
          </w:tcPr>
          <w:p>
            <w:pPr>
              <w:spacing w:after="0"/>
              <w:rPr>
                <w:sz w:val="1"/>
                <w:szCs w:val="1"/>
                <w:color w:val="auto"/>
              </w:rPr>
            </w:pPr>
          </w:p>
        </w:tc>
      </w:tr>
      <w:tr>
        <w:trPr>
          <w:trHeight w:val="173"/>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Payments of issuance costs related to issuance of common stock</w:t>
            </w:r>
          </w:p>
        </w:tc>
        <w:tc>
          <w:tcPr>
            <w:tcW w:w="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Payments of issuance costs related to issuance of preferred stock</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2"/>
        </w:trPr>
        <w:tc>
          <w:tcPr>
            <w:tcW w:w="8340" w:type="dxa"/>
            <w:vAlign w:val="bottom"/>
          </w:tcPr>
          <w:p>
            <w:pPr>
              <w:ind w:left="320"/>
              <w:spacing w:after="0"/>
              <w:rPr>
                <w:sz w:val="20"/>
                <w:szCs w:val="20"/>
                <w:color w:val="auto"/>
              </w:rPr>
            </w:pPr>
            <w:r>
              <w:rPr>
                <w:rFonts w:ascii="Arial" w:cs="Arial" w:eastAsia="Arial" w:hAnsi="Arial"/>
                <w:sz w:val="14"/>
                <w:szCs w:val="14"/>
                <w:color w:val="auto"/>
              </w:rPr>
              <w:t>Issuance of common stock in connection with the Takeda Collaboration Agreement</w:t>
            </w:r>
          </w:p>
        </w:tc>
        <w:tc>
          <w:tcPr>
            <w:tcW w:w="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94,406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exercise of awards under equity incentive plans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4,156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4,156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95,329</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(173,759)</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78,623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218,910</w:t>
            </w: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84,173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45,151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Tenant improvements provided by the landlord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208"/>
        </w:trPr>
        <w:tc>
          <w:tcPr>
            <w:tcW w:w="8340" w:type="dxa"/>
            <w:vAlign w:val="bottom"/>
          </w:tcPr>
          <w:p>
            <w:pPr>
              <w:ind w:left="320"/>
              <w:spacing w:after="0"/>
              <w:rPr>
                <w:sz w:val="20"/>
                <w:szCs w:val="20"/>
                <w:color w:val="auto"/>
              </w:rPr>
            </w:pPr>
            <w:r>
              <w:rPr>
                <w:rFonts w:ascii="Arial" w:cs="Arial" w:eastAsia="Arial" w:hAnsi="Arial"/>
                <w:sz w:val="14"/>
                <w:szCs w:val="14"/>
                <w:color w:val="auto"/>
              </w:rPr>
              <w:t>Property and equipment purchases accrued but not yet paid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Denali Therapeutics Inc.</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252"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Denali Therapeutics Inc. ("Denali" or the “Company”) is a biopharmaceutical company, incorporated in Delaware, that discovers and develops therapeutics to defeat neurodegenerative diseases. The Company is headquartered in South San Francisco, California.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the instructions to Form 10-Q and Article 10 of SEC Regulation S-X for interim financial information.</w:t>
      </w:r>
    </w:p>
    <w:p>
      <w:pPr>
        <w:spacing w:after="0" w:line="19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consolidated financial statements and notes thereto contained in the Annual Report on Form 10-K for the year ended December 31, 2018, as filed with the Securities and Exchange Commission on March 12, 2019 (the "2018 Annual Report on Form 10-K"). The Condensed Consolidated Balance Sheet as of December 31, 2018 was derived from the audited annual consolidated financial statements as of the period then ended. Certain information and footnote disclosures typically included in the Company's annual consolidated financial statements have been condensed or omitted. The accompanying unaudited condensed consolidated financial statements reflect all adjustments that, in the opinion of management, are necessary for a fair statement of the results of the interim periods presented. All such adjustments are of a normal recurring nature except for the impacts of adopting new accounting standards discussed below. These interim financial results are not necessarily indicative of results expected for the full fiscal year or for any subsequent interim period.</w:t>
      </w:r>
    </w:p>
    <w:p>
      <w:pPr>
        <w:spacing w:after="0" w:line="209"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During the nine months ended September 30, 2019, except as discussed below in the sections titled "Leases" and "Recently Adopted Accounting Pronouncement," there were no material changes to the Company's significant accounting and financial reporting policies from those reflected in the 2018 Annual Report on Form 10-K. For further information with regard to the Company’s Significant Accounting Policies, please refer to Note 1, "Significant Accounting Policies," to the Company’s Consolidated Financial Statements included in the 2018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wholly-owned subsidiary. All intercompany balances and transactions have been eliminated in consolidation. For the Company and its subsidiary, the functional currency has been determined to be U.S. dollars. Monetary assets and liabilities denominated in foreign currency are remeasured at period-end exchange rates. Non-monetary assets and liabilities denominated in foreign currencies are remeasured at historical rates. Foreign currency transaction gains and losses resulting from remeasurement are recognized in interest and other income, net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auto"/>
        </w:rPr>
        <w:t>The preparation of financial statements in conformity with U.S. GAAP requires the Company to make certain estimates, judgments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and such differences could be material to the Condensed Consolidated Financial Position and Statements of Operations and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52" w:lineRule="exact"/>
        <w:rPr>
          <w:sz w:val="20"/>
          <w:szCs w:val="20"/>
          <w:color w:val="auto"/>
        </w:rPr>
      </w:pPr>
    </w:p>
    <w:p>
      <w:pPr>
        <w:ind w:right="280" w:firstLine="486"/>
        <w:spacing w:after="0" w:line="260"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marketable securities and forward foreign currency exchange contracts. Substantially all of the Company’s cash and cash equivalents are deposited in accounts with financial institutions that management believes are of high credit quality. Such deposits have and will continue to exceed federally insured limits. The Company maintains its cash with accredited financial institutions and accordingly, such funds are subject to minimal credit risk. The Company has not experienced any losses on its cash deposits.</w:t>
      </w:r>
    </w:p>
    <w:p>
      <w:pPr>
        <w:spacing w:after="0" w:line="202" w:lineRule="exact"/>
        <w:rPr>
          <w:sz w:val="20"/>
          <w:szCs w:val="20"/>
          <w:color w:val="auto"/>
        </w:rPr>
      </w:pPr>
    </w:p>
    <w:p>
      <w:pPr>
        <w:ind w:right="360" w:firstLine="486"/>
        <w:spacing w:after="0" w:line="260" w:lineRule="auto"/>
        <w:rPr>
          <w:sz w:val="20"/>
          <w:szCs w:val="20"/>
          <w:color w:val="auto"/>
        </w:rPr>
      </w:pPr>
      <w:r>
        <w:rPr>
          <w:rFonts w:ascii="Arial" w:cs="Arial" w:eastAsia="Arial" w:hAnsi="Arial"/>
          <w:sz w:val="18"/>
          <w:szCs w:val="18"/>
          <w:color w:val="auto"/>
        </w:rPr>
        <w:t>The Company’s investment policy limits investments to certain types of securities issued by the U.S. government, its agencies and institutions with investment-grade credit ratings and places restrictions on maturities and concentration by type and issuer. The Company is exposed to credit risk in the event of a default by the financial institutions holding its cash, cash equivalents and marketable securities and issuers of marketable securities to the extent recorded on the consolidated balance sheets. As of September 30, 2019 and December 31, 2018, the Company had no off-balance sheet concentrations of credit risk.</w:t>
      </w:r>
    </w:p>
    <w:p>
      <w:pPr>
        <w:spacing w:after="0" w:line="202" w:lineRule="exact"/>
        <w:rPr>
          <w:sz w:val="20"/>
          <w:szCs w:val="20"/>
          <w:color w:val="auto"/>
        </w:rPr>
      </w:pPr>
    </w:p>
    <w:p>
      <w:pPr>
        <w:jc w:val="both"/>
        <w:ind w:right="500" w:firstLine="486"/>
        <w:spacing w:after="0" w:line="271" w:lineRule="auto"/>
        <w:rPr>
          <w:sz w:val="20"/>
          <w:szCs w:val="20"/>
          <w:color w:val="auto"/>
        </w:rPr>
      </w:pPr>
      <w:r>
        <w:rPr>
          <w:rFonts w:ascii="Arial" w:cs="Arial" w:eastAsia="Arial" w:hAnsi="Arial"/>
          <w:sz w:val="18"/>
          <w:szCs w:val="18"/>
          <w:color w:val="auto"/>
        </w:rPr>
        <w:t>The Company is exposed to counterparty credit risk on all of its derivative financial instruments. The Company has established and maintains strict counterparty credit guidelines and enters into hedges only with financial institutions that are investment grade or better to minimize the Company’s exposure to potential defaults. The Company does not require collateral to be pledged under these agreements.</w:t>
      </w:r>
    </w:p>
    <w:p>
      <w:pPr>
        <w:spacing w:after="0" w:line="19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is subject to a number of risks similar to other early-stage biopharmaceutical companies, including, but not limited to, the need to obtain adequate additional funding, possible failure of current or future preclinical testing or clinical trials, its reliance on third parties to conduct its clinical trials, the need to obtain regulatory and marketing approvals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protection of proprietary technology, the ability to make milestone, royalty or other payments due under any license or collaboration agreements, and the need to secure and maintain adequate manufacturing arrangements with third parties. If the Company does not successfully commercialize or partner any of its product candidates, it will be unable to generate product revenue or achieve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52"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auto"/>
        </w:rPr>
        <w:t>The Company has one operating segment. The Company’s chief operating decision maker, its Chief Executive Officer, manages the Company’s operations on a consolidated basis for the purposes of allocating resources.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520" w:firstLine="486"/>
        <w:spacing w:after="0" w:line="292" w:lineRule="auto"/>
        <w:rPr>
          <w:sz w:val="20"/>
          <w:szCs w:val="20"/>
          <w:color w:val="auto"/>
        </w:rPr>
      </w:pPr>
      <w:r>
        <w:rPr>
          <w:rFonts w:ascii="Arial" w:cs="Arial" w:eastAsia="Arial" w:hAnsi="Arial"/>
          <w:sz w:val="18"/>
          <w:szCs w:val="18"/>
          <w:color w:val="auto"/>
        </w:rPr>
        <w:t>The Company’s restricted cash consists of the letter of credit for the Company’s headquarters building lease, and is included within other non-current assets on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52"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The Company accounts for its derivative instruments as either assets or liabilities on the Condensed Consolidated Balance Sheets and measures them at fair value. Derivatives are adjusted to fair value through interest and other income, net in the Condensed Consolidated Statements of Operations and Comprehensive Loss.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 xml:space="preserve">The Company adopted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A determination is made as to whether an arrangement is a lease at inception. A right-of-use (“ROU”) asset and operating lease liability is recognized for identified operating leases in the Condensed Consolidated Balance Sheets.</w:t>
      </w:r>
    </w:p>
    <w:p>
      <w:pPr>
        <w:spacing w:after="0" w:line="136" w:lineRule="exact"/>
        <w:rPr>
          <w:sz w:val="20"/>
          <w:szCs w:val="20"/>
          <w:color w:val="auto"/>
        </w:rPr>
      </w:pPr>
    </w:p>
    <w:p>
      <w:pPr>
        <w:ind w:right="220" w:firstLine="486"/>
        <w:spacing w:after="0" w:line="258" w:lineRule="auto"/>
        <w:rPr>
          <w:sz w:val="20"/>
          <w:szCs w:val="20"/>
          <w:color w:val="auto"/>
        </w:rPr>
      </w:pPr>
      <w:r>
        <w:rPr>
          <w:rFonts w:ascii="Arial" w:cs="Arial" w:eastAsia="Arial" w:hAnsi="Arial"/>
          <w:sz w:val="18"/>
          <w:szCs w:val="18"/>
          <w:color w:val="auto"/>
        </w:rPr>
        <w:t>ROU assets represent the Company’s right to use the underlying asset for the lease term and lease liabilities represent the Company’s obligation to make lease payments arising from the lease. Operating lease ROU assets and liabilities are recognized at the lease commencement date based on the present value of lease payments due over the lease term, with the ROU assets adjusted for lease incentives received. When determining the present value of lease payments, the Company uses its incremental borrowing rate (“IBR”) on the date of lease commencement, or the rate implicit in the lease, if known. The Company does not assume renewals in its determination of the lease term unless the renewals are deemed by management to be reasonably certain at lease inception.</w:t>
      </w:r>
    </w:p>
    <w:p>
      <w:pPr>
        <w:spacing w:after="0" w:line="13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Leases with an initial term of 12 months or less are not recorded on the balance sheet, unless they include an option to purchase the underlying asset that the Company is reasonably certain to exercise. The Company recognizes lease expenses on a straight-line basis over the lease term. The Company has leases with lease and non-lease components, which the Company has elected to account for as a single lease component.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Revenue</w:t>
      </w:r>
    </w:p>
    <w:p>
      <w:pPr>
        <w:spacing w:after="0" w:line="25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analyzes its collaboration arrangements to assess whether they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For elements of collaboration arrangements that are accounted for pursuant to ASC 808, an appropriate recognition method is determined and applied consistently, generally by analogy to Topic 606. The accounting treatment pursuant to Topic 606 is outlined below.</w:t>
      </w:r>
    </w:p>
    <w:p>
      <w:pPr>
        <w:spacing w:after="0" w:line="209"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The terms of licensing and collaboration agreements entered into typically include payment of one or more of the following: non-refundable, up-front license fees; development, regulatory and commercial milestone payments; payments for manufacturing supply services; and royalties on net sales of licensed products. Each of these payments results in license, collaboration and other revenue, except for revenues from royalties on net sales of licensed products, which are classified as royalty revenue. The core principle of Topic 606 is to recognize revenue when promised goods or services are transferred to customers in an amount that reflects the consideration that is expected to be received in exchange for those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In determining the appropriate amount of revenue to be recognized as the Company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202"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consolidated balance sheets. If the related performance obligation is expected to be satisfied within the next twelve months this will be classified in current liabilities. Amounts recognized as revenue prior to receipt are recorded as contract assets in the Company's consolidated balance sheets. If the Company expects to have an unconditional right to receive the consideration in the next twelve months, this will be classified in current assets. A net contract asset or liability is presented for each contract with a customer.</w:t>
      </w:r>
    </w:p>
    <w:p>
      <w:pPr>
        <w:spacing w:after="0" w:line="202"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At contract inception, the Company assesses the goods or services promised in a contract with a customer and identifies those distinct goods and services that represent a performance obligation. A promised good or service may not be identified as a performance obligation if it is immaterial in the context of the contract with the customer, if it is not separately identifiable from other promises in the contract (either because it is not capable of being separated or because it is not separable in the context of the contract), or if the performance obligation does not provide the customer with a material right.</w:t>
      </w:r>
    </w:p>
    <w:p>
      <w:pPr>
        <w:spacing w:after="0" w:line="202"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Company considers the terms of the contract to determine the transaction price. The transaction price is the amount of consideration to which the Company expects to be entitled in exchange for transferring promised goods or services to a customer. The consideration promised in a contract with a customer may include fixed amounts, variable amounts, or both. Variable consideration will only be included in the transaction price when it is not considered constrained, which is when it is probable that a significant reversal in the amount of cumulative revenue recognized will not occur.</w:t>
      </w:r>
    </w:p>
    <w:p>
      <w:pPr>
        <w:spacing w:after="0" w:line="202"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If it is determined that multiple performance obligations exist, the transaction price is allocated at the inception of the agreement to all identified performance obligations based on the relative standalone selling prices ("SSP"). The relative SSP for each deliverable is estimated using external sourced evidence if it is available. If external sourced evidence is not available, the Company uses its best estimate of the SSP for the deliverable.</w:t>
      </w:r>
    </w:p>
    <w:p>
      <w:pPr>
        <w:spacing w:after="0" w:line="19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Revenue is recognized when, or as, the Company satisfies a performance obligation by transferring a promised good or service to a customer. An asset is transferred when, or as, the customer obtains control of that asset, which for a service is considered to be as the services are received and used. The Company recognizes revenue over time by measuring the progress toward complete satisfaction of the relevant performance obligation using an appropriate input or output method based on the nature of the service promised to the customer.</w:t>
      </w:r>
    </w:p>
    <w:p>
      <w:pPr>
        <w:spacing w:after="0" w:line="197" w:lineRule="exact"/>
        <w:rPr>
          <w:sz w:val="20"/>
          <w:szCs w:val="20"/>
          <w:color w:val="auto"/>
        </w:rPr>
      </w:pPr>
    </w:p>
    <w:p>
      <w:pPr>
        <w:ind w:right="80" w:firstLine="486"/>
        <w:spacing w:after="0" w:line="292" w:lineRule="auto"/>
        <w:rPr>
          <w:sz w:val="20"/>
          <w:szCs w:val="20"/>
          <w:color w:val="auto"/>
        </w:rPr>
      </w:pPr>
      <w:r>
        <w:rPr>
          <w:rFonts w:ascii="Arial" w:cs="Arial" w:eastAsia="Arial" w:hAnsi="Arial"/>
          <w:sz w:val="18"/>
          <w:szCs w:val="18"/>
          <w:color w:val="auto"/>
        </w:rPr>
        <w:t>After contract inception, the transaction price is reassessed at every period end and updated for changes such as resolution of uncertain events. Any change in the transaction price is allocated to the performance obligations on the same basis as at contract inception.</w:t>
      </w:r>
    </w:p>
    <w:p>
      <w:pPr>
        <w:spacing w:after="0" w:line="17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Management may be required to exercise considerable judgment in estimating revenue to be recognized. Judgment is required in identifying performance obligations, estimating the transaction price, estimating the SSP of identified performance obligations, which may include forecasted revenue, development timelines, reimbursement rates for personnel costs, discount rates and probabilities of technical and regulatory success, and estimating the progress towards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Intraperiod tax allocation rules require allocation of the provision for income taxes between continuing operations and other categories of earnings, such as other comprehensive income. In periods in which the Company has a year-to-date pre-tax loss and pre-tax income in other categories of earnings, such as other comprehensive income, the Company must allocate the tax provision to the other categories of earnings. A related tax benefit is then recorded in continuing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185"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Measurement of Credit Losses on Financial Instruments</w:t>
      </w:r>
      <w:r>
        <w:rPr>
          <w:rFonts w:ascii="Arial" w:cs="Arial" w:eastAsia="Arial" w:hAnsi="Arial"/>
          <w:sz w:val="18"/>
          <w:szCs w:val="18"/>
          <w:color w:val="auto"/>
        </w:rPr>
        <w:t>. ASU 2016-13 requires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expected credit losses for financial assets. In April 2019, the FASB issued clarification to ASU 2016-13 within ASU 2019-04,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326, Financial Instruments-Credit Losses, Topic 815, Derivatives and Hedging</w:t>
      </w:r>
      <w:r>
        <w:rPr>
          <w:rFonts w:ascii="Arial" w:cs="Arial" w:eastAsia="Arial" w:hAnsi="Arial"/>
          <w:sz w:val="18"/>
          <w:szCs w:val="18"/>
          <w:color w:val="auto"/>
        </w:rPr>
        <w:t>,</w:t>
      </w:r>
      <w:r>
        <w:rPr>
          <w:rFonts w:ascii="Arial" w:cs="Arial" w:eastAsia="Arial" w:hAnsi="Arial"/>
          <w:sz w:val="18"/>
          <w:szCs w:val="18"/>
          <w:i w:val="1"/>
          <w:iCs w:val="1"/>
          <w:color w:val="auto"/>
        </w:rPr>
        <w:t xml:space="preserve"> and Topic 825, Financial Instruments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will become effective as of January 1, 2020, and must be adopted using a modified retrospective approach, with certain exceptions. Management is currently evaluating the impact of the adoption of this standard, but does not expect a material impact on the Company’s condensed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18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supersedes the guidance in former ASC 840, </w:t>
      </w:r>
      <w:r>
        <w:rPr>
          <w:rFonts w:ascii="Arial" w:cs="Arial" w:eastAsia="Arial" w:hAnsi="Arial"/>
          <w:sz w:val="18"/>
          <w:szCs w:val="18"/>
          <w:i w:val="1"/>
          <w:iCs w:val="1"/>
          <w:color w:val="auto"/>
        </w:rPr>
        <w:t>Leases</w:t>
      </w:r>
      <w:r>
        <w:rPr>
          <w:rFonts w:ascii="Arial" w:cs="Arial" w:eastAsia="Arial" w:hAnsi="Arial"/>
          <w:sz w:val="18"/>
          <w:szCs w:val="18"/>
          <w:color w:val="auto"/>
        </w:rPr>
        <w:t>. The FASB issued further updates to this guidance in July 2018 through ASU 2018-10, C</w:t>
      </w:r>
      <w:r>
        <w:rPr>
          <w:rFonts w:ascii="Arial" w:cs="Arial" w:eastAsia="Arial" w:hAnsi="Arial"/>
          <w:sz w:val="18"/>
          <w:szCs w:val="18"/>
          <w:i w:val="1"/>
          <w:iCs w:val="1"/>
          <w:color w:val="auto"/>
        </w:rPr>
        <w:t>odification Improvements to Topic 842, Leases</w:t>
      </w:r>
      <w:r>
        <w:rPr>
          <w:rFonts w:ascii="Arial" w:cs="Arial" w:eastAsia="Arial" w:hAnsi="Arial"/>
          <w:sz w:val="18"/>
          <w:szCs w:val="18"/>
          <w:color w:val="auto"/>
        </w:rPr>
        <w:t xml:space="preserve"> and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in December 2018 through ASU 2018-20, </w:t>
      </w:r>
      <w:r>
        <w:rPr>
          <w:rFonts w:ascii="Arial" w:cs="Arial" w:eastAsia="Arial" w:hAnsi="Arial"/>
          <w:sz w:val="18"/>
          <w:szCs w:val="18"/>
          <w:i w:val="1"/>
          <w:iCs w:val="1"/>
          <w:color w:val="auto"/>
        </w:rPr>
        <w:t>Leases (Topic 842): Narrow-Scope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for Lessors </w:t>
      </w:r>
      <w:r>
        <w:rPr>
          <w:rFonts w:ascii="Arial" w:cs="Arial" w:eastAsia="Arial" w:hAnsi="Arial"/>
          <w:sz w:val="18"/>
          <w:szCs w:val="18"/>
          <w:color w:val="auto"/>
        </w:rPr>
        <w:t>and in March 2019 through ASU 2019-01</w:t>
      </w:r>
      <w:r>
        <w:rPr>
          <w:rFonts w:ascii="Arial" w:cs="Arial" w:eastAsia="Arial" w:hAnsi="Arial"/>
          <w:sz w:val="18"/>
          <w:szCs w:val="18"/>
          <w:i w:val="1"/>
          <w:iCs w:val="1"/>
          <w:color w:val="auto"/>
        </w:rPr>
        <w:t xml:space="preserve"> Leases (Topic 842): Codification Improvements</w:t>
      </w:r>
      <w:r>
        <w:rPr>
          <w:rFonts w:ascii="Arial" w:cs="Arial" w:eastAsia="Arial" w:hAnsi="Arial"/>
          <w:sz w:val="18"/>
          <w:szCs w:val="18"/>
          <w:color w:val="auto"/>
        </w:rPr>
        <w:t>.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The standard is effective for interim and annual periods beginning after December 15, 2018, with early adoption permitted, and is required to be adopted using a modified retrospective approach.</w:t>
      </w:r>
    </w:p>
    <w:p>
      <w:pPr>
        <w:spacing w:after="0" w:line="151"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has adopted this standard as of January 1, 2019, applying the optional transition method such that it is not required to adjust prior period presentations. ASU 2016-02 has impacted the Company’s Condensed Consolidated Balance Sheets as the Company has certain operating lease arrangements for which the Company is the lessee and one operating lease arrangement for which the Company is the lessor. The Company has no financing leases. Management has elected the package of practical expedients permitted under the transition guidance within the new standard, which among other things, allows us to carryforward the historical lease classification. The impact of adoption of the standard is that the Company as of January 1, 2019 recognized a ROU asset of $46.1 million and operating lease liability of $71.3 million. The standard did not have a material impact on the Company’s Condensed Consolidated Statements of Operations and Comprehensive Loss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and liabilities measured at fair value at each balance sheet date are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8"/>
                <w:szCs w:val="18"/>
                <w:color w:val="auto"/>
              </w:rPr>
            </w:pPr>
          </w:p>
        </w:tc>
        <w:tc>
          <w:tcPr>
            <w:tcW w:w="124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2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Money market funds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53,491</w:t>
            </w:r>
          </w:p>
        </w:tc>
        <w:tc>
          <w:tcPr>
            <w:tcW w:w="0" w:type="dxa"/>
            <w:vAlign w:val="bottom"/>
          </w:tcPr>
          <w:p>
            <w:pPr>
              <w:spacing w:after="0"/>
              <w:rPr>
                <w:sz w:val="1"/>
                <w:szCs w:val="1"/>
                <w:color w:val="auto"/>
              </w:rPr>
            </w:pPr>
          </w:p>
        </w:tc>
      </w:tr>
      <w:tr>
        <w:trPr>
          <w:trHeight w:val="212"/>
        </w:trPr>
        <w:tc>
          <w:tcPr>
            <w:tcW w:w="520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U.S. government treasuries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287,366</w:t>
            </w:r>
          </w:p>
        </w:tc>
        <w:tc>
          <w:tcPr>
            <w:tcW w:w="0" w:type="dxa"/>
            <w:vAlign w:val="bottom"/>
          </w:tcPr>
          <w:p>
            <w:pPr>
              <w:spacing w:after="0"/>
              <w:rPr>
                <w:sz w:val="1"/>
                <w:szCs w:val="1"/>
                <w:color w:val="auto"/>
              </w:rPr>
            </w:pP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U.S. government agency securities</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11,993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Corporate debt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64,344</w:t>
            </w:r>
          </w:p>
        </w:tc>
        <w:tc>
          <w:tcPr>
            <w:tcW w:w="0" w:type="dxa"/>
            <w:vAlign w:val="bottom"/>
          </w:tcPr>
          <w:p>
            <w:pPr>
              <w:spacing w:after="0"/>
              <w:rPr>
                <w:sz w:val="1"/>
                <w:szCs w:val="1"/>
                <w:color w:val="auto"/>
              </w:rPr>
            </w:pP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Commercial paper</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33,014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marketable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U.S. government treasuries</w:t>
            </w:r>
          </w:p>
        </w:tc>
        <w:tc>
          <w:tcPr>
            <w:tcW w:w="2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17,744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17,744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Corporate debt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5,790</w:t>
            </w:r>
          </w:p>
        </w:tc>
        <w:tc>
          <w:tcPr>
            <w:tcW w:w="0" w:type="dxa"/>
            <w:vAlign w:val="bottom"/>
          </w:tcPr>
          <w:p>
            <w:pPr>
              <w:spacing w:after="0"/>
              <w:rPr>
                <w:sz w:val="1"/>
                <w:szCs w:val="1"/>
                <w:color w:val="auto"/>
              </w:rPr>
            </w:pPr>
          </w:p>
        </w:tc>
      </w:tr>
      <w:tr>
        <w:trPr>
          <w:trHeight w:val="212"/>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derivative contracts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358,601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115,155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473,756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derivative contracts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4"/>
        </w:trPr>
        <w:tc>
          <w:tcPr>
            <w:tcW w:w="5200" w:type="dxa"/>
            <w:vAlign w:val="bottom"/>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2018</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10"/>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7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212"/>
        </w:trPr>
        <w:tc>
          <w:tcPr>
            <w:tcW w:w="5200" w:type="dxa"/>
            <w:vAlign w:val="bottom"/>
          </w:tcPr>
          <w:p>
            <w:pPr>
              <w:ind w:left="220"/>
              <w:spacing w:after="0"/>
              <w:rPr>
                <w:sz w:val="20"/>
                <w:szCs w:val="20"/>
                <w:color w:val="auto"/>
              </w:rPr>
            </w:pPr>
            <w:r>
              <w:rPr>
                <w:rFonts w:ascii="Arial" w:cs="Arial" w:eastAsia="Arial" w:hAnsi="Arial"/>
                <w:sz w:val="14"/>
                <w:szCs w:val="14"/>
                <w:color w:val="auto"/>
              </w:rPr>
              <w:t>Cash equivalents: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Money market funds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42,225</w:t>
            </w: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U.S. government treasuries</w:t>
            </w:r>
          </w:p>
        </w:tc>
        <w:tc>
          <w:tcPr>
            <w:tcW w:w="28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1,499</w:t>
            </w: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9,979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9,979</w:t>
            </w:r>
          </w:p>
        </w:tc>
      </w:tr>
      <w:tr>
        <w:trPr>
          <w:trHeight w:val="212"/>
        </w:trPr>
        <w:tc>
          <w:tcPr>
            <w:tcW w:w="520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U.S. government treasuries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219,754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219,754</w:t>
            </w: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U.S. government agency securities</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73,151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73,151</w:t>
            </w: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Corporate debt securities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71,675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71,675</w:t>
            </w: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Commercial paper</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22,594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22,594</w:t>
            </w: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marketable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U.S. government treasuries</w:t>
            </w:r>
          </w:p>
        </w:tc>
        <w:tc>
          <w:tcPr>
            <w:tcW w:w="28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117,131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117,131</w:t>
            </w:r>
          </w:p>
        </w:tc>
      </w:tr>
      <w:tr>
        <w:trPr>
          <w:trHeight w:val="220"/>
        </w:trPr>
        <w:tc>
          <w:tcPr>
            <w:tcW w:w="52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U.S. government agency securities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1,977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1,977</w:t>
            </w:r>
          </w:p>
        </w:tc>
      </w:tr>
      <w:tr>
        <w:trPr>
          <w:trHeight w:val="212"/>
        </w:trPr>
        <w:tc>
          <w:tcPr>
            <w:tcW w:w="5200" w:type="dxa"/>
            <w:vAlign w:val="bottom"/>
          </w:tcPr>
          <w:p>
            <w:pPr>
              <w:ind w:left="440"/>
              <w:spacing w:after="0"/>
              <w:rPr>
                <w:sz w:val="20"/>
                <w:szCs w:val="20"/>
                <w:color w:val="auto"/>
              </w:rPr>
            </w:pPr>
            <w:r>
              <w:rPr>
                <w:rFonts w:ascii="Arial" w:cs="Arial" w:eastAsia="Arial" w:hAnsi="Arial"/>
                <w:sz w:val="14"/>
                <w:szCs w:val="14"/>
                <w:color w:val="auto"/>
              </w:rPr>
              <w:t>Corporate debt securities</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28,773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28,773</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derivative contracts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r>
      <w:tr>
        <w:trPr>
          <w:trHeight w:val="214"/>
        </w:trPr>
        <w:tc>
          <w:tcPr>
            <w:tcW w:w="5200" w:type="dxa"/>
            <w:vAlign w:val="bottom"/>
          </w:tcPr>
          <w:p>
            <w:pPr>
              <w:ind w:left="220"/>
              <w:spacing w:after="0"/>
              <w:rPr>
                <w:sz w:val="20"/>
                <w:szCs w:val="20"/>
                <w:color w:val="auto"/>
              </w:rPr>
            </w:pPr>
            <w:r>
              <w:rPr>
                <w:rFonts w:ascii="Arial" w:cs="Arial" w:eastAsia="Arial" w:hAnsi="Arial"/>
                <w:sz w:val="14"/>
                <w:szCs w:val="14"/>
                <w:color w:val="auto"/>
              </w:rPr>
              <w:t>Total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380,609</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208,163</w:t>
            </w:r>
          </w:p>
        </w:tc>
        <w:tc>
          <w:tcPr>
            <w:tcW w:w="120" w:type="dxa"/>
            <w:vAlign w:val="bottom"/>
          </w:tcPr>
          <w:p>
            <w:pPr>
              <w:spacing w:after="0"/>
              <w:rPr>
                <w:sz w:val="18"/>
                <w:szCs w:val="18"/>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588,772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12"/>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derivative contracts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w:t>
            </w:r>
          </w:p>
        </w:tc>
      </w:tr>
      <w:tr>
        <w:trPr>
          <w:trHeight w:val="234"/>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accounts payable and accrued liabilities approximate their fair values due to their short-term maturities.</w:t>
      </w:r>
    </w:p>
    <w:p>
      <w:pPr>
        <w:spacing w:after="0" w:line="185"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The Company’s Level 2 securities are valued using third-party pricing sources. The pricing services utilize industry standard valuation models, including both income and market-based approaches, for which all significant inputs are observable, either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80" w:firstLine="486"/>
        <w:spacing w:after="0" w:line="292"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and nine months ended September 30, 2019 or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Marketable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4" w:lineRule="exact"/>
        <w:rPr>
          <w:sz w:val="20"/>
          <w:szCs w:val="20"/>
          <w:color w:val="auto"/>
        </w:rPr>
      </w:pPr>
    </w:p>
    <w:p>
      <w:pPr>
        <w:ind w:right="600" w:firstLine="486"/>
        <w:spacing w:after="0" w:line="292"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shown in the table below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82,673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77,123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43,651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218,375</w:t>
            </w:r>
          </w:p>
        </w:tc>
        <w:tc>
          <w:tcPr>
            <w:tcW w:w="0" w:type="dxa"/>
            <w:vAlign w:val="bottom"/>
          </w:tcPr>
          <w:p>
            <w:pPr>
              <w:spacing w:after="0"/>
              <w:rPr>
                <w:sz w:val="1"/>
                <w:szCs w:val="1"/>
                <w:color w:val="auto"/>
              </w:rPr>
            </w:pPr>
          </w:p>
        </w:tc>
      </w:tr>
      <w:tr>
        <w:trPr>
          <w:trHeight w:val="149"/>
        </w:trPr>
        <w:tc>
          <w:tcPr>
            <w:tcW w:w="4960" w:type="dxa"/>
            <w:vAlign w:val="bottom"/>
          </w:tcPr>
          <w:p>
            <w:pPr>
              <w:ind w:left="340"/>
              <w:spacing w:after="0" w:line="149" w:lineRule="exact"/>
              <w:rPr>
                <w:sz w:val="20"/>
                <w:szCs w:val="20"/>
                <w:color w:val="auto"/>
              </w:rPr>
            </w:pPr>
            <w:r>
              <w:rPr>
                <w:rFonts w:ascii="Arial" w:cs="Arial" w:eastAsia="Arial" w:hAnsi="Arial"/>
                <w:sz w:val="14"/>
                <w:szCs w:val="14"/>
                <w:color w:val="auto"/>
              </w:rPr>
              <w:t>Restricted cash included within prepaid expenses and other current</w:t>
            </w:r>
          </w:p>
        </w:tc>
        <w:tc>
          <w:tcPr>
            <w:tcW w:w="52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6"/>
        </w:trPr>
        <w:tc>
          <w:tcPr>
            <w:tcW w:w="4960" w:type="dxa"/>
            <w:vAlign w:val="bottom"/>
          </w:tcPr>
          <w:p>
            <w:pPr>
              <w:ind w:left="560"/>
              <w:spacing w:after="0"/>
              <w:rPr>
                <w:sz w:val="20"/>
                <w:szCs w:val="20"/>
                <w:color w:val="auto"/>
              </w:rPr>
            </w:pPr>
            <w:r>
              <w:rPr>
                <w:rFonts w:ascii="Arial" w:cs="Arial" w:eastAsia="Arial" w:hAnsi="Arial"/>
                <w:sz w:val="14"/>
                <w:szCs w:val="14"/>
                <w:color w:val="auto"/>
              </w:rPr>
              <w:t>assets</w:t>
            </w:r>
          </w:p>
        </w:tc>
        <w:tc>
          <w:tcPr>
            <w:tcW w:w="5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cash included within other non-current assets</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84,173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78,623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45,151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218,910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All marketable securities were considered available-for-sale at September 30, 2019 and December 31, 2018. On a recurring basis, the Company records its marketable securities at fair value using Level 1 or Level 2 inputs as discussed in Note 2, "Fair Value Measurements". The amortized cost, gross unrealized holding gains or losses, and fair value of the Company’s marketable securities by major security type at each balance sheet date are summarized in the tables below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 2019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68"/>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Holding</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Holding</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Gains</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Fair Value</w:t>
            </w:r>
          </w:p>
        </w:tc>
      </w:tr>
      <w:tr>
        <w:trPr>
          <w:trHeight w:val="17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marketable securities:</w:t>
            </w: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U.S. government treasuries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286,712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8"/>
                <w:szCs w:val="18"/>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tcPr>
          <w:p>
            <w:pPr>
              <w:ind w:lef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287,366</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 government agency securities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11,993</w:t>
            </w: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Corporate debt securities</w:t>
            </w:r>
          </w:p>
        </w:tc>
        <w:tc>
          <w:tcPr>
            <w:tcW w:w="140" w:type="dxa"/>
            <w:vAlign w:val="bottom"/>
          </w:tcPr>
          <w:p>
            <w:pPr>
              <w:spacing w:after="0"/>
              <w:rPr>
                <w:sz w:val="18"/>
                <w:szCs w:val="18"/>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64,208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64,344</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33,014</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Total short-term marketable securities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395,923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396,717</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U.S. government treasuries</w:t>
            </w:r>
          </w:p>
        </w:tc>
        <w:tc>
          <w:tcPr>
            <w:tcW w:w="140" w:type="dxa"/>
            <w:vAlign w:val="bottom"/>
          </w:tcPr>
          <w:p>
            <w:pPr>
              <w:spacing w:after="0"/>
              <w:rPr>
                <w:sz w:val="18"/>
                <w:szCs w:val="18"/>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17,589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17,744</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Corporate debt securities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5,790</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long-term marketable securities</w:t>
            </w: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23,340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23,534</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419,263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420,251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68"/>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Holding</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Holding</w:t>
            </w:r>
          </w:p>
        </w:tc>
        <w:tc>
          <w:tcPr>
            <w:tcW w:w="16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Aggregate Fair</w:t>
            </w: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7"/>
                <w:szCs w:val="17"/>
                <w:color w:val="auto"/>
              </w:rPr>
            </w:pPr>
          </w:p>
        </w:tc>
        <w:tc>
          <w:tcPr>
            <w:tcW w:w="1300" w:type="dxa"/>
            <w:vAlign w:val="bottom"/>
          </w:tcPr>
          <w:p>
            <w:pPr>
              <w:jc w:val="right"/>
              <w:ind w:right="468"/>
              <w:spacing w:after="0"/>
              <w:rPr>
                <w:sz w:val="20"/>
                <w:szCs w:val="20"/>
                <w:color w:val="auto"/>
              </w:rPr>
            </w:pPr>
            <w:r>
              <w:rPr>
                <w:rFonts w:ascii="Arial" w:cs="Arial" w:eastAsia="Arial" w:hAnsi="Arial"/>
                <w:sz w:val="14"/>
                <w:szCs w:val="14"/>
                <w:b w:val="1"/>
                <w:bCs w:val="1"/>
                <w:color w:val="auto"/>
              </w:rPr>
              <w:t>Value</w:t>
            </w:r>
          </w:p>
        </w:tc>
      </w:tr>
      <w:tr>
        <w:trPr>
          <w:trHeight w:val="17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marketable securities:</w:t>
            </w: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U.S. government treasuries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220,081</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219,754</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 government agency securities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73,151</w:t>
            </w: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Corporate debt securities</w:t>
            </w:r>
          </w:p>
        </w:tc>
        <w:tc>
          <w:tcPr>
            <w:tcW w:w="16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71,940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71,675</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22,594</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Total short-term marketable securities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387,988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387,174</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4"/>
                <w:szCs w:val="14"/>
                <w:color w:val="auto"/>
              </w:rPr>
              <w:t>U.S. government treasuries</w:t>
            </w:r>
          </w:p>
        </w:tc>
        <w:tc>
          <w:tcPr>
            <w:tcW w:w="16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116,878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117,131</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 government agency securities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1,977</w:t>
            </w:r>
          </w:p>
        </w:tc>
      </w:tr>
      <w:tr>
        <w:trPr>
          <w:trHeight w:val="216"/>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Corporate debt securities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28,864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28,773</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long-term marketable securities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147,717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147,881</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535,705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535,055</w:t>
            </w: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As of September 30, 2019 and December 31, 2018, some of the Company’s marketable securities were in an unrealized loss position. The Company determined that it had the ability and intent to hold all marketable securities that have been in a continuous loss position until maturity or recovery, thus there was no recognition of any other-than-temporary impairment as of September 30, 2019 or December 31, 2018. All marketable securities with unrealized losses as of each balance sheet date have been in a loss position for less than twelve months or the loss is not material.</w:t>
      </w:r>
    </w:p>
    <w:p>
      <w:pPr>
        <w:spacing w:after="0" w:line="283"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The Company recorded unrealized gains on marketable securities in a gain position in other comprehensive income during the three and nine months ended September 30, 2019. There were no unrealized gains in other comprehensive income during the three and nine months ended September 30, 2018. As a result, the Company recorded a tax benefit of $0.1 million and $0.4 million for the three and nine months ended September 30, 2019, respectively, on the Condensed Consolidated Statements of Operations and a corresponding tax charge in other comprehensive income. There was no tax benefit recorded for the three and nine months ended September 30, 2018 on the Condensed Consolidated Statements of Operations and Comprehensive Loss.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of the Company’s marketable securities have an effective maturity of less than two years.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Exposure</w:t>
      </w:r>
    </w:p>
    <w:p>
      <w:pPr>
        <w:spacing w:after="0" w:line="254"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Company uses forward foreign currency exchange contracts to hedge certain operational exposures resulting from potential changes in foreign currency exchange rates. Such exposures result from portions of the Company’s forecasted cash flows being denominated in currencies other than the U.S. dollar, primarily the Euro, British Pound, and Swiss Franc. The derivative instruments the Company uses to hedge this exposure are not designated as cash flow hedges, and as a result, changes in their fair value are recorded in interest and other income, net, on the Company's Condensed Consolidated Statements of Operations and Comprehensive Loss.</w:t>
      </w:r>
    </w:p>
    <w:p>
      <w:pPr>
        <w:spacing w:after="0" w:line="202" w:lineRule="exact"/>
        <w:rPr>
          <w:sz w:val="20"/>
          <w:szCs w:val="20"/>
          <w:color w:val="auto"/>
        </w:rPr>
      </w:pPr>
    </w:p>
    <w:p>
      <w:pPr>
        <w:jc w:val="both"/>
        <w:ind w:right="240" w:firstLine="486"/>
        <w:spacing w:after="0" w:line="271" w:lineRule="auto"/>
        <w:rPr>
          <w:sz w:val="20"/>
          <w:szCs w:val="20"/>
          <w:color w:val="auto"/>
        </w:rPr>
      </w:pPr>
      <w:r>
        <w:rPr>
          <w:rFonts w:ascii="Arial" w:cs="Arial" w:eastAsia="Arial" w:hAnsi="Arial"/>
          <w:sz w:val="18"/>
          <w:szCs w:val="18"/>
          <w:color w:val="auto"/>
        </w:rPr>
        <w:t>The fair values of forward foreign currency exchange contracts are estimated using current exchange rates and interest rates and take into consideration the current creditworthiness of the counterparties. Information regarding the specific instruments used by the Company to hedge its exposure to foreign currency exchange rate fluctuations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60" w:firstLine="486"/>
        <w:spacing w:after="0" w:line="292" w:lineRule="auto"/>
        <w:rPr>
          <w:sz w:val="20"/>
          <w:szCs w:val="20"/>
          <w:color w:val="auto"/>
        </w:rPr>
      </w:pPr>
      <w:r>
        <w:rPr>
          <w:rFonts w:ascii="Arial" w:cs="Arial" w:eastAsia="Arial" w:hAnsi="Arial"/>
          <w:sz w:val="18"/>
          <w:szCs w:val="18"/>
          <w:color w:val="auto"/>
        </w:rPr>
        <w:t>The following table summarizes the Company’s forward foreign currency exchange contracts outstanding as of September 30, 2019 (notional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Foreign Exchange Contracts</w:t>
            </w:r>
          </w:p>
        </w:tc>
        <w:tc>
          <w:tcPr>
            <w:tcW w:w="120" w:type="dxa"/>
            <w:vAlign w:val="bottom"/>
            <w:vMerge w:val="restart"/>
          </w:tcPr>
          <w:p>
            <w:pPr>
              <w:spacing w:after="0"/>
              <w:rPr>
                <w:sz w:val="17"/>
                <w:szCs w:val="17"/>
                <w:color w:val="auto"/>
              </w:rPr>
            </w:pPr>
          </w:p>
        </w:tc>
        <w:tc>
          <w:tcPr>
            <w:tcW w:w="23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Number of Contracts</w:t>
            </w:r>
          </w:p>
        </w:tc>
        <w:tc>
          <w:tcPr>
            <w:tcW w:w="120" w:type="dxa"/>
            <w:vAlign w:val="bottom"/>
          </w:tcPr>
          <w:p>
            <w:pPr>
              <w:spacing w:after="0"/>
              <w:rPr>
                <w:sz w:val="17"/>
                <w:szCs w:val="17"/>
                <w:color w:val="auto"/>
              </w:rPr>
            </w:pPr>
          </w:p>
        </w:tc>
        <w:tc>
          <w:tcPr>
            <w:tcW w:w="2820" w:type="dxa"/>
            <w:vAlign w:val="bottom"/>
            <w:gridSpan w:val="2"/>
          </w:tcPr>
          <w:p>
            <w:pPr>
              <w:ind w:left="260"/>
              <w:spacing w:after="0"/>
              <w:rPr>
                <w:sz w:val="20"/>
                <w:szCs w:val="20"/>
                <w:color w:val="auto"/>
              </w:rPr>
            </w:pPr>
            <w:r>
              <w:rPr>
                <w:rFonts w:ascii="Arial" w:cs="Arial" w:eastAsia="Arial" w:hAnsi="Arial"/>
                <w:sz w:val="14"/>
                <w:szCs w:val="14"/>
                <w:b w:val="1"/>
                <w:bCs w:val="1"/>
                <w:color w:val="auto"/>
              </w:rPr>
              <w:t>Aggregate Notional</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Amount in</w:t>
            </w:r>
          </w:p>
        </w:tc>
        <w:tc>
          <w:tcPr>
            <w:tcW w:w="220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6"/>
        </w:trPr>
        <w:tc>
          <w:tcPr>
            <w:tcW w:w="3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7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Euros</w:t>
            </w:r>
          </w:p>
        </w:tc>
        <w:tc>
          <w:tcPr>
            <w:tcW w:w="2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2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2,976</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Oct 2019 - Aug 2020</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British Pounds</w:t>
            </w:r>
          </w:p>
        </w:tc>
        <w:tc>
          <w:tcPr>
            <w:tcW w:w="230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2820" w:type="dxa"/>
            <w:vAlign w:val="bottom"/>
            <w:gridSpan w:val="2"/>
          </w:tcPr>
          <w:p>
            <w:pPr>
              <w:jc w:val="right"/>
              <w:ind w:right="68"/>
              <w:spacing w:after="0"/>
              <w:rPr>
                <w:sz w:val="20"/>
                <w:szCs w:val="20"/>
                <w:color w:val="auto"/>
              </w:rPr>
            </w:pPr>
            <w:r>
              <w:rPr>
                <w:rFonts w:ascii="Arial" w:cs="Arial" w:eastAsia="Arial" w:hAnsi="Arial"/>
                <w:sz w:val="14"/>
                <w:szCs w:val="14"/>
                <w:color w:val="auto"/>
              </w:rPr>
              <w:t>2,944</w:t>
            </w:r>
          </w:p>
        </w:tc>
        <w:tc>
          <w:tcPr>
            <w:tcW w:w="120" w:type="dxa"/>
            <w:vAlign w:val="bottom"/>
          </w:tcPr>
          <w:p>
            <w:pPr>
              <w:spacing w:after="0"/>
              <w:rPr>
                <w:sz w:val="18"/>
                <w:szCs w:val="18"/>
                <w:color w:val="auto"/>
              </w:rPr>
            </w:pPr>
          </w:p>
        </w:tc>
        <w:tc>
          <w:tcPr>
            <w:tcW w:w="2200" w:type="dxa"/>
            <w:vAlign w:val="bottom"/>
          </w:tcPr>
          <w:p>
            <w:pPr>
              <w:jc w:val="right"/>
              <w:ind w:right="88"/>
              <w:spacing w:after="0"/>
              <w:rPr>
                <w:sz w:val="20"/>
                <w:szCs w:val="20"/>
                <w:color w:val="auto"/>
              </w:rPr>
            </w:pPr>
            <w:r>
              <w:rPr>
                <w:rFonts w:ascii="Arial" w:cs="Arial" w:eastAsia="Arial" w:hAnsi="Arial"/>
                <w:sz w:val="14"/>
                <w:szCs w:val="14"/>
                <w:color w:val="auto"/>
              </w:rPr>
              <w:t>Oct 2019 - Jun 2020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Swiss Francs</w:t>
            </w:r>
          </w:p>
        </w:tc>
        <w:tc>
          <w:tcPr>
            <w:tcW w:w="2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2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Oct 2019 - Aug 2020</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w:t>
      </w:r>
    </w:p>
    <w:p>
      <w:pPr>
        <w:spacing w:after="0" w:line="4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The notional amount represents the net amount of foreign currency that will be received upon maturity of the forward contracts.</w:t>
      </w:r>
    </w:p>
    <w:p>
      <w:pPr>
        <w:spacing w:after="0" w:line="201" w:lineRule="exact"/>
        <w:rPr>
          <w:sz w:val="20"/>
          <w:szCs w:val="20"/>
          <w:color w:val="auto"/>
        </w:rPr>
      </w:pPr>
    </w:p>
    <w:p>
      <w:pPr>
        <w:ind w:right="140" w:firstLine="486"/>
        <w:spacing w:after="0" w:line="243" w:lineRule="auto"/>
        <w:rPr>
          <w:sz w:val="20"/>
          <w:szCs w:val="20"/>
          <w:color w:val="auto"/>
        </w:rPr>
      </w:pPr>
      <w:r>
        <w:rPr>
          <w:rFonts w:ascii="Arial" w:cs="Arial" w:eastAsia="Arial" w:hAnsi="Arial"/>
          <w:sz w:val="18"/>
          <w:szCs w:val="18"/>
          <w:color w:val="auto"/>
        </w:rPr>
        <w:t>A derivative liability balance of $0.2 million is recorded in Other current liabilities on the Condensed Consolidated Balance Sheets as of both September 30, 2019 and December 31, 2018. Immaterial derivative asset balances are recorded in prepaid assets and other current assets on the Condensed Consolidated Balance Sheets as of September 30, 2019 and December 31, 2018. The net loss associated with the Company's derivative instruments of $0.1 million is recognized in interest and other income, net on the Condensed Consolidated Statement of Operations and Comprehensive Loss for both the three and nine months ended September 30, 2019, and for both the three and nine months ended September 30,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187" w:lineRule="exact"/>
        <w:rPr>
          <w:sz w:val="20"/>
          <w:szCs w:val="20"/>
          <w:color w:val="auto"/>
        </w:rPr>
      </w:pPr>
    </w:p>
    <w:p>
      <w:pPr>
        <w:ind w:right="940" w:firstLine="486"/>
        <w:spacing w:after="0" w:line="263" w:lineRule="auto"/>
        <w:rPr>
          <w:sz w:val="20"/>
          <w:szCs w:val="20"/>
          <w:color w:val="auto"/>
        </w:rPr>
      </w:pPr>
      <w:r>
        <w:rPr>
          <w:rFonts w:ascii="Arial" w:cs="Arial" w:eastAsia="Arial" w:hAnsi="Arial"/>
          <w:sz w:val="18"/>
          <w:szCs w:val="18"/>
          <w:color w:val="auto"/>
        </w:rPr>
        <w:t>In August 2016, the Company entered into a License and Collaboration Agreement (“F-star Collaboration Agreement”) with F-star Gamma Limited (“F-star Gamma”), F-star Biotechnologische Forschungs-Und Entwicklungsges M.B.H ("F-star GmbH") and 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star Biotechnology Limited ("F-star Ltd") (collectively, “F-star”) to leverage F-star’s modular antibody technology and the Company’s expertise in the development of therapies for neurodegenerative diseases. Under the F-star Collaboration Agreement, the Company has made payments to F-star totaling $11.5 million. In connection with the entry into the F-star Collaboration Agreement, the Company also purchased an option for an upfront option fee of $0.5 million (the “buy-out-option”), to acquire all of the outstanding shares of F-star Gamma pursuant to a pre-negotiated buy-out option agreement (the “Option Agreement”).</w:t>
      </w:r>
    </w:p>
    <w:p>
      <w:pPr>
        <w:spacing w:after="0" w:line="206"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In May 2018, the Company exercised the Option Agreement and entered into a Share Purchase Agreement (the “Purchase Agreement”) with the shareholders of F-star Gamma and Shareholder Representative Services LLC, pursuant to which the Company acquired all of the outstanding shares of F-star Gamma (the “Acquisition”).</w:t>
      </w:r>
    </w:p>
    <w:p>
      <w:pPr>
        <w:spacing w:after="0" w:line="19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 a result of the Acquisition, F-star Gamma became a wholly-owned subsidiary of the Company and the Company changed the entity’s name to Denali BBB Holding Limited. In addition, the Company became a direct licensee of certain intellectual property of F-star Ltd by way of the Company’s assumption of F-star Gamma’s license agreement with F-star Ltd, dated August 24, 2016, (the “F-star Gamma License”). The Company made initial exercise payments under the Purchase Agreement and the F-star Gamma License, in the aggregate, of $17.8 million. In addition, the Company is required to make future contingent payments, to F-star Ltd and the former shareholders of F-star Gamma, up to a maximum amount of $447.0 million in the aggregate upon the achievement of certain defined preclinical, clinical, regulatory and commercial milestones. The amount of the contingent payments will vary based on whether F-star delivers an Fcab (constant Fc-domains with antigen-binding activity) that meets pre-defined criteria and whether the Fcab has been identified solely by the Company or solely by F-star or jointly by the Company and F-star. In June 2019, the Company made a payment of $1.5 million to F-star Ltd upon the achievement of a specified preclinical milestone in the Company's ETV:IDS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concluded that the assets acquired and liabilities assumed upon the exercise of the Option Agreement did not meet the accounting definition of a business, and as such, the acquisition was accounted for as an asset purchase. The Company recognized $1.5 million of contingent consideration as research and development expense during the nine months ended September 30, 2019 and $18.3 million of upfront consideration as research and development expense in the nine months ended September 30, 2018. There was no research and development expense recognized for contingent or upfront consideration during the three months ended September 30, 2019 and 2018. As the transaction was accounted for as an asset purchase rather than a business combination, the Company did not recognize any contingent consideration on the acquisition date. Further future contingent consideration is expected to be recognized in research and development expense as incurred.</w:t>
      </w:r>
    </w:p>
    <w:p>
      <w:pPr>
        <w:spacing w:after="0" w:line="15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Under the F-star Collaboration Agreement, the Company is responsible for certain research costs incurred by F-star Ltd in conducting activities under an agreed development plan for each Fcab, for up to 24 months after the target Fcab is accepted. The Company's responsibility for research costs under the first development plan related to an Fcab that targets the transferrin receptor was completed during the year ended December 31, 2018. The responsibility for costs under the second development plan related to an undisclosed Fcab target commenced in February 2019. The Company recognized $0.3 million and $0.8 million in research and development expense related to the funding of F-star Ltd activities under these development plans during the three and nine months ended September 30, 2019, respectively, and $0.3 million and $0.8 million for the three and nine months ended September 30, 2018,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 Agreements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8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October 2018, the Company entered into a Collaboration and License Agreement ("Sanofi Collaboration Agreement") with Genzyme Corporation, a wholly owned subsidiary of Sanofi S.A. ("Sanofi") pursuant to which certain small molecule CNS and peripheral RIPK1 inhibitors contributed by Sanofi and by Denali will be developed and commercialized. The Sanofi Collaboration Agreement became effective in November 2018 when the HSR requirements were satisfied upon which time Sanofi paid the Company an upfront payment of $125.0 million. Under the Sanofi Collaboration Agreement, Denali is eligible to receive milestone payments from Sanofi up to approximately $1.1 billion upon achievement of certain clinical, regulatory and sales milestone events. Such milestone payments include $215.0 million in clinical milestone payments and $385.0 million in regulatory milestone payments for CNS Products, as defined, that are developed and approved in the United States, by the European Medicines Agency and in Japan for three indications, including Alzheimer's disease. These milestones also include $120.0 million in clinical milestone payments, $175.0 million in regulatory milestone payments and $200.0 million in commercial milestone payments for Peripheral Products, as defined, that are developed and approved in the United States, by the European Medicines Agency and Japan for three indications.</w:t>
      </w:r>
    </w:p>
    <w:p>
      <w:pPr>
        <w:spacing w:after="0" w:line="143" w:lineRule="exact"/>
        <w:rPr>
          <w:sz w:val="20"/>
          <w:szCs w:val="20"/>
          <w:color w:val="auto"/>
        </w:rPr>
      </w:pPr>
    </w:p>
    <w:p>
      <w:pPr>
        <w:ind w:right="580" w:firstLine="486"/>
        <w:spacing w:after="0" w:line="292" w:lineRule="auto"/>
        <w:rPr>
          <w:sz w:val="20"/>
          <w:szCs w:val="20"/>
          <w:color w:val="auto"/>
        </w:rPr>
      </w:pPr>
      <w:r>
        <w:rPr>
          <w:rFonts w:ascii="Arial" w:cs="Arial" w:eastAsia="Arial" w:hAnsi="Arial"/>
          <w:sz w:val="18"/>
          <w:szCs w:val="18"/>
          <w:color w:val="auto"/>
        </w:rPr>
        <w:t>Denali will share profits and losses equally with Sanofi for CNS Products sold in the United States and China, and receive variable royalties on net sales for CNS Products sold outside of the United States and China and for Peripheral Products sold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Denali and Sanofi will jointly develop CNS Products pursuant to a global development plan. The Company will be responsible, at its own cost, for conducting Phase 1 and Phase 2 trials for CNS Products in Alzheimer’s disease and any activities required to support such clinical trials and specific for Alzheimer’s disease. Denali is conducting, at Sanofi’s cost, a Phase 1b trial for the lead CNS penetrant RIPK1 inhibitor, DNL747, in ALS. Sanofi is responsible, at its cost, for all other Phase 1 and Phase 2 trials for CNS Products, including for multiple sclerosis. Sanofi will lead the conduct of all Phase 3 and later stage development trials for CNS Products, with Sanofi and Denali funding 70% and 30% of such costs, respectively. Sanofi will also lead the commercialization activities globally for CNS Products, subject to certain options that Denali has to conduct co-commercialization activities with respect to each CNS Product in the United States and China.</w:t>
      </w:r>
    </w:p>
    <w:p>
      <w:pPr>
        <w:spacing w:after="0" w:line="150"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color w:val="auto"/>
        </w:rPr>
        <w:t>Sanofi will be responsible, at its cost, for conducting activities relating to the development and commercialization of all Peripheral Products. Denali will be entitled to receive tiered royalties in the low- to mid- teen percentages on net sales of Peripheral Products.</w:t>
      </w:r>
    </w:p>
    <w:p>
      <w:pPr>
        <w:spacing w:after="0" w:line="104"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Company identified the following distinct performance obligations associated with the Sanofi Collaboration Agreement upon inception: the CNS program license, the Peripheral program license, the Phase 1 and Phase 2 trials for CNS Products for Alzheimer’s disease ("Alzheimer's Disease Services"), and the Phase 1b trial for DNL747 for ALS and associated activities ("Retained Activities").</w:t>
      </w:r>
    </w:p>
    <w:p>
      <w:pPr>
        <w:spacing w:after="0" w:line="12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believes that the Sanofi Collaboration Agreement is a collaboration arrangement as defined in ASC 808, Collaborative Agreements. The Company also believes that Sanofi meets the definition of a customer as defined in ASC 606, Revenue From Contracts With Customers for three of the performance obligations identified at inception, but does not meet the definition of a customer for the Alzheimer's Disease Services. Further, Sanofi does not meet the definition of a customer for all Phase 3 and later stage development trials for CNS Products led by Sanofi for which Denali will fund 30% of total costs. Since ASC 808 does not address recognition and measurement, the Company looked to other accounting literature for guidance where the performance obligation does not fall under ASC 606, and determined that for the Alzheimer's Disease Services, the guidance in ASC 606 should be analogized for the recognition, measurement and reporting of this performance obligation, and for the cost sharing provisions, the Company determined that the guidance in ASC 730, Research and Development should be applied.</w:t>
      </w:r>
    </w:p>
    <w:p>
      <w:pPr>
        <w:spacing w:after="0" w:line="155"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transaction price at inception included upfront fixed consideration of $125.0 million. All potential future milestones and other payments were considered constrained at the inception of the Sanofi Collaboration Agreement since the Company could not conclude it was probable that a significant reversal in the amount recognized would not occur. From inception through September 30, 2019, the transaction price increased by $11.6 million for amounts due for costs incurred related to the Retained Activities that were no longer constrained, and $10.0 million for the milestone triggered by the commencement of a DNL758 Phase 1 clinical trial in healthy volunteers as described below.</w:t>
      </w:r>
    </w:p>
    <w:p>
      <w:pPr>
        <w:spacing w:after="0" w:line="135" w:lineRule="exact"/>
        <w:rPr>
          <w:sz w:val="20"/>
          <w:szCs w:val="20"/>
          <w:color w:val="auto"/>
        </w:rPr>
      </w:pPr>
    </w:p>
    <w:p>
      <w:pPr>
        <w:ind w:right="440" w:firstLine="486"/>
        <w:spacing w:after="0" w:line="271" w:lineRule="auto"/>
        <w:rPr>
          <w:sz w:val="20"/>
          <w:szCs w:val="20"/>
          <w:color w:val="auto"/>
        </w:rPr>
      </w:pPr>
      <w:r>
        <w:rPr>
          <w:rFonts w:ascii="Arial" w:cs="Arial" w:eastAsia="Arial" w:hAnsi="Arial"/>
          <w:sz w:val="18"/>
          <w:szCs w:val="18"/>
          <w:color w:val="auto"/>
        </w:rPr>
        <w:t>The respective standalone value for each of the performance obligations has been determined by applying the SSP method and the transaction price allocated based on the relative SSP method with revenue recognition timing to be determined either by delivery or the provision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The Company used an adjusted market assessment approach to estimate the selling price for the program licenses, and an expected cost plus margin approach for estimating the Alzheimer’s Disease Services and the Retained Activities. The program licenses and existing know-how were delivered on the effective date of the Sanofi Collaboration Agreement. The Alzheimer’s Disease Services and the Retained Activities are expected to be delivered over time as the services are performed. For the Alzheimer's Disease Services, revenue will be recognized over time using the input method, based on costs incurred to perform the services, since the level of costs incurred over time is thought to best reflect the transfer of services to Sanofi. For the Retained Activities, revenue will be recognized over time using the output method, based on amounts invoiced to Sanofi, since this is believed to directly correlate to the value of the services performed.</w:t>
      </w:r>
    </w:p>
    <w:p>
      <w:pPr>
        <w:spacing w:after="0" w:line="150"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In July 2019, Sanofi commenced a DNL758 Phase 1 clinical trial in healthy volunteers, which triggered a milestone payment of $10.0 million, which the Company received in August 2019. The entire milestone payment was recognized in collaboration revenue in the three and nine months ended September 30, 2019.</w:t>
      </w:r>
    </w:p>
    <w:p>
      <w:pPr>
        <w:spacing w:after="0" w:line="123"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A contract liability of $3.6 million and $3.9 million was recorded on the Condensed Consolidated Balance Sheets as of September 30, 2019 and December 31, 2018, respectively. These contract liabilities relate to the portion of the Alzheimer's Disease Services performance obligation yet to be satisfied, with such amounts to be recognized over the estimated period of the services, which is expected to be several years. There was a receivable of $2.4 million and $2.3 million at September 30, 2019 and December 31, 2018, respectively, associated with the Sanofi Collaboration Agreement.</w:t>
      </w:r>
    </w:p>
    <w:p>
      <w:pPr>
        <w:spacing w:after="0" w:line="135"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In assessing the Sanofi Collaboration Agreement, management is required to exercise considerable judgment in estimating revenue to be recognized. Management applies judgment in determining the separate performance obligations, in estimating the selling price, in determining when control was transferred to Sanofi for the licenses, and in estimating total future costs when using the input method.</w:t>
      </w:r>
    </w:p>
    <w:p>
      <w:pPr>
        <w:spacing w:after="0" w:line="136"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Through September 30, 2019, Denali has received milestone payments of $10.0 million and has not recorded any product sales recorded under the Sanofi Collaboration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5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January 2018, the Company entered into a Collaboration and Option Agreement ("Takeda Collaboration Agreement") with Takeda Pharmaceutical Company Limited ("Takeda"), pursuant to which the Company granted Takeda an option to develop and commercialize, jointly with the Company, certain biologic products that are enabled by Denali's blood-brain barrier ("BBB") delivery technology and intended for the treatment of neurodegenerative disorders. The programs were Denali’s ATV:BACE1/Tau and ATV:TREM2 programs, as well as a third identified discovery stage program. The Takeda Collaboration Agreement became effective in February 2018, at which time Takeda paid the Company an upfront payment of $40.0 million. Takeda may pay up to an aggregate of $25.0 million with respect to each of the three programs directed to a target and based upon the achievement of certain preclinical milestone events, up to $75.0 million in total, $ 5.0 million of which was paid upon the Takeda Collaboration Agreement becoming effective. In February 2019, the agreement was amended to replace ATV:BACE1/Tau with ATV:Tau. The amendment did not have a material impact to the condensed consolidated financial statements.</w:t>
      </w:r>
    </w:p>
    <w:p>
      <w:pPr>
        <w:spacing w:after="0" w:line="209" w:lineRule="exact"/>
        <w:rPr>
          <w:sz w:val="20"/>
          <w:szCs w:val="20"/>
          <w:color w:val="auto"/>
        </w:rPr>
      </w:pPr>
    </w:p>
    <w:p>
      <w:pPr>
        <w:ind w:right="260" w:firstLine="486"/>
        <w:spacing w:after="0" w:line="278" w:lineRule="auto"/>
        <w:rPr>
          <w:sz w:val="20"/>
          <w:szCs w:val="20"/>
          <w:color w:val="auto"/>
        </w:rPr>
      </w:pPr>
      <w:r>
        <w:rPr>
          <w:rFonts w:ascii="Arial" w:cs="Arial" w:eastAsia="Arial" w:hAnsi="Arial"/>
          <w:sz w:val="17"/>
          <w:szCs w:val="17"/>
          <w:color w:val="auto"/>
        </w:rPr>
        <w:t>Under the Takeda Collaboration Agreement and unless otherwise agreed jointly between both parties, Denali will be responsible, at its cost, for conducting activities relating to pre-IND development of biologic products directed to the three identified targets and enabled by its</w:t>
      </w:r>
    </w:p>
    <w:p>
      <w:pPr>
        <w:spacing w:after="0" w:line="1" w:lineRule="exact"/>
        <w:rPr>
          <w:sz w:val="20"/>
          <w:szCs w:val="20"/>
          <w:color w:val="auto"/>
        </w:rPr>
      </w:pPr>
    </w:p>
    <w:p>
      <w:pPr>
        <w:ind w:right="40" w:firstLine="8"/>
        <w:spacing w:after="0" w:line="258"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delivery technology targeting TfR during the applicable research period. The period through which the option can be exercised continues for each target until the first biologic product directed to the relevant target is IND-ready or approximately five years after selection of the target,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If Takeda exercises its option with respect to a particular target, then Takeda will have the right to develop and commercialize, jointly with the Company, a specified number of biologic products enabled by its BBB delivery technology that were developed during the research period and which are directed to the relevant target. The Company will grant to Takeda a co-exclusive license under the intellectual property the Company controls related to those biologic products.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Takeda is obligated to pay Denali a $5.0 million option fee for each target for which Takeda exercises its option, up to $15.0 million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30"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In addition, if Takeda exercises its option for all three collaboration programs, Takeda may be obligated to pay Denali up to an aggregate of $407.5 million upon achievement of certain clinical milestone events and up to an aggregate of $300.0 million in regulatory milestone events relating to receipt of regulatory approval in the United States, certain European countries and Japan. Takeda may also be obligated to pay Denali up to $75.0 million per biologic product upon achievement of a certain sales-based milestone, or an aggregate of $225.0 million if one biologic product from each program achieves this milestone.</w:t>
      </w:r>
    </w:p>
    <w:p>
      <w:pPr>
        <w:spacing w:after="0" w:line="202"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If Takeda exercises its option for a particular target, Denali and Takeda will share equally the development and commercialization costs, and, if applicable, the profits, for each collaboration program.</w:t>
      </w:r>
    </w:p>
    <w:p>
      <w:pPr>
        <w:spacing w:after="0" w:line="172"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Pursuant to the terms of the Takeda Collaboration Agreement, the Company entered into a common stock purchase agreement (the "Stock Purchase Agreement") with Takeda on January 3, 2018, pursuant to which Takeda purchased 4,214,559 shares of Denali’s common stock (the "Shares") for an aggregate purchase price of $110.0 million. The sale of the Shares closed on February 23, 2018. The fair market value of the common stock sold to Takeda was $94.4 million, based on the closing stock price of $ 22.40 on the date of issuance, resulting in a $15.6 million premium paid to the Company above the fair value of the Company's common stock which was credited to contract liability in the Company's Condensed Consolidated Balance Sheets.</w:t>
      </w:r>
    </w:p>
    <w:p>
      <w:pPr>
        <w:spacing w:after="0" w:line="20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 xml:space="preserve">The Company believes that the Takeda Collaboration Agreement is a collaboration arrangement as defined in ASC 808, </w:t>
      </w:r>
      <w:r>
        <w:rPr>
          <w:rFonts w:ascii="Arial" w:cs="Arial" w:eastAsia="Arial" w:hAnsi="Arial"/>
          <w:sz w:val="18"/>
          <w:szCs w:val="18"/>
          <w:i w:val="1"/>
          <w:iCs w:val="1"/>
          <w:color w:val="auto"/>
        </w:rPr>
        <w:t>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Further, during the research period, the Company believes that the arrangement is a contract with a customer as defined in ASC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The Takeda Collaboration Agreement and the Stock Purchase Agreement are being accounted for as one arrangement because they were entered into at the same time with interrelated financial terms.</w:t>
      </w:r>
    </w:p>
    <w:p>
      <w:pPr>
        <w:spacing w:after="0" w:line="143"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The Company identified performance obligations during the research period consisting of the license, the development options, and joint steering committee ("JSC") participation together with the research services for each collaboration program. The license rights, JSC involvement, option and research services are considered to be a single performance obligation for each program since the research services are highly interrelated with the option and JSC involvement and will significantly modify the license. The performance obligations under each of the three programs are separate since the activities and risks under the programs are distinct.</w:t>
      </w:r>
    </w:p>
    <w:p>
      <w:pPr>
        <w:spacing w:after="0" w:line="202"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The Company has determined that all other goods or services which are contingent upon Takeda exercising its option for each program are not considered performance obligations at the inception of the Takeda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transaction price at inception included fixed consideration consisting of the upfront fee of $40.0 million, the $15.6 million premium on the sale of common stock, and the first preclinical milestone payment of $5.0 million. It also included variable consideration of $26.0 million relating to future milestones that were not constrained. The amount of variable consideration was estimated using the most likely amount method.</w:t>
      </w:r>
    </w:p>
    <w:p>
      <w:pPr>
        <w:spacing w:after="0" w:line="129"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remaining $44.0 million of preclinical milestones were considered constrained at the inception of the Takeda Collaboration Agreement since the Company could not conclude it is probable that a significant reversal in the amount recognized will not occur. Additionally, cost and profit sharing income, and the development and commercial milestones as outlined above, have not been considered given Takeda has not exercised its options for the development and commercial phases for any program. There was no change in the transaction price from inception through September 30, 2019. This will be reassessed at each reporting period.</w:t>
      </w:r>
    </w:p>
    <w:p>
      <w:pPr>
        <w:spacing w:after="0" w:line="202"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The transaction price has been ascribed in its entirety to the three performance obligations identified in the research term of the Takeda Collaboration Agreement.</w:t>
      </w:r>
    </w:p>
    <w:p>
      <w:pPr>
        <w:spacing w:after="0" w:line="172"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Revenue is recognized when, or as, the Company satisfies its performance obligations by transferring the promised services to Takeda. Revenue will be recognized over time using the input method, based on costs incurred to perform the research services, since the level of costs incurred over time is thought to best reflect the transfer of services to Takeda. There were no material changes in estimates during the three and nine months ended September 30, 2019.</w:t>
      </w:r>
    </w:p>
    <w:p>
      <w:pPr>
        <w:spacing w:after="0" w:line="197"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A contract liability of $62.4 million and $64.9 million was recorded on the Condensed Consolidated Balance Sheets as of September 30, 2019 and December 31, 2018, respectively. These contract liabilities relate to the three performance obligations identified, with such amounts to be recognized over the estimated period of the pre-IND research services, which is expected to be several years. There was no receivable as of September 30, 2019, and a receivable of $5.0 million as of December 31, 2018, related to the Takeda Collaboration Agreement.</w:t>
      </w:r>
    </w:p>
    <w:p>
      <w:pPr>
        <w:spacing w:after="0" w:line="197"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Revenue recognized relating to future milestone payments of $1.6 million, which the Company concluded is probable that a significant reversal in the amount recognized will not occur, is presented net in the contract liability on the Condensed Consolidated Balance Sheets.</w:t>
      </w:r>
    </w:p>
    <w:p>
      <w:pPr>
        <w:spacing w:after="0" w:line="172" w:lineRule="exact"/>
        <w:rPr>
          <w:sz w:val="20"/>
          <w:szCs w:val="20"/>
          <w:color w:val="auto"/>
        </w:rPr>
      </w:pPr>
    </w:p>
    <w:p>
      <w:pPr>
        <w:jc w:val="both"/>
        <w:ind w:right="60" w:firstLine="486"/>
        <w:spacing w:after="0" w:line="271" w:lineRule="auto"/>
        <w:rPr>
          <w:sz w:val="20"/>
          <w:szCs w:val="20"/>
          <w:color w:val="auto"/>
        </w:rPr>
      </w:pPr>
      <w:r>
        <w:rPr>
          <w:rFonts w:ascii="Arial" w:cs="Arial" w:eastAsia="Arial" w:hAnsi="Arial"/>
          <w:sz w:val="18"/>
          <w:szCs w:val="18"/>
          <w:color w:val="auto"/>
        </w:rPr>
        <w:t>In assessing the Takeda Collaboration Agreement, management is required to exercise considerable judgment in estimating revenue to be recognized. Management applies judgment in determining the separate performance obligations in the research period, estimating variable consideration, and estimating total future costs when using the input method.</w:t>
      </w:r>
    </w:p>
    <w:p>
      <w:pPr>
        <w:spacing w:after="0" w:line="190"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Through September 30, 2019, Denali has received $15.0 million of preclinical milestone payments from Takeda and has not recorded any product sales under the Takeda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disaggregated by collaboration agreement and performance obligation is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Takeda Collaboration Agreement</w:t>
            </w:r>
            <w:r>
              <w:rPr>
                <w:rFonts w:ascii="Arial" w:cs="Arial" w:eastAsia="Arial" w:hAnsi="Arial"/>
                <w:sz w:val="18"/>
                <w:szCs w:val="18"/>
                <w:color w:val="auto"/>
                <w:vertAlign w:val="superscript"/>
              </w:rPr>
              <w:t>(1)</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212"/>
        </w:trPr>
        <w:tc>
          <w:tcPr>
            <w:tcW w:w="4220" w:type="dxa"/>
            <w:vAlign w:val="bottom"/>
          </w:tcPr>
          <w:p>
            <w:pPr>
              <w:ind w:left="20"/>
              <w:spacing w:after="0"/>
              <w:rPr>
                <w:sz w:val="20"/>
                <w:szCs w:val="20"/>
                <w:color w:val="auto"/>
              </w:rPr>
            </w:pPr>
            <w:r>
              <w:rPr>
                <w:rFonts w:ascii="Arial" w:cs="Arial" w:eastAsia="Arial" w:hAnsi="Arial"/>
                <w:sz w:val="14"/>
                <w:szCs w:val="14"/>
                <w:color w:val="auto"/>
              </w:rPr>
              <w:t>Sanofi Collaboration Agreement</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Peripheral Program License</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4"/>
                <w:szCs w:val="14"/>
                <w:color w:val="auto"/>
              </w:rPr>
              <w:t>Alzheimer's Disease Services</w:t>
            </w:r>
            <w:r>
              <w:rPr>
                <w:rFonts w:ascii="Arial" w:cs="Arial" w:eastAsia="Arial" w:hAnsi="Arial"/>
                <w:sz w:val="18"/>
                <w:szCs w:val="18"/>
                <w:color w:val="auto"/>
                <w:vertAlign w:val="superscript"/>
              </w:rPr>
              <w:t>(1)</w:t>
            </w:r>
          </w:p>
        </w:tc>
        <w:tc>
          <w:tcPr>
            <w:tcW w:w="116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Retained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9,210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color w:val="auto"/>
              </w:rPr>
              <w:t>Total Sanofi Collaboration Revenue</w:t>
            </w:r>
          </w:p>
        </w:tc>
        <w:tc>
          <w:tcPr>
            <w:tcW w:w="116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12,519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19,499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Collaboration Revenue</w:t>
            </w:r>
          </w:p>
        </w:tc>
        <w:tc>
          <w:tcPr>
            <w:tcW w:w="1160" w:type="dxa"/>
            <w:vAlign w:val="bottom"/>
            <w:tcBorders>
              <w:top w:val="single" w:sz="8" w:color="auto"/>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22,006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_________________________________________________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2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40" w:right="260" w:hanging="332"/>
        <w:spacing w:after="0" w:line="230" w:lineRule="auto"/>
        <w:tabs>
          <w:tab w:leader="none" w:pos="333"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Amounts for the three and nine months ended September 30, 2019 and the three months ended September 30, 2018 represent revenue recognized during the period that was included in the contract liability balance at the beginning of the period. There was no deferred revenue at the beginning of the period for the nine months ended September 30,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85" w:lineRule="exact"/>
        <w:rPr>
          <w:sz w:val="20"/>
          <w:szCs w:val="20"/>
          <w:color w:val="auto"/>
        </w:rPr>
      </w:pPr>
    </w:p>
    <w:p>
      <w:pPr>
        <w:jc w:val="both"/>
        <w:ind w:right="80" w:firstLine="486"/>
        <w:spacing w:after="0" w:line="260" w:lineRule="auto"/>
        <w:rPr>
          <w:sz w:val="20"/>
          <w:szCs w:val="20"/>
          <w:color w:val="auto"/>
        </w:rPr>
      </w:pPr>
      <w:r>
        <w:rPr>
          <w:rFonts w:ascii="Arial" w:cs="Arial" w:eastAsia="Arial" w:hAnsi="Arial"/>
          <w:sz w:val="18"/>
          <w:szCs w:val="18"/>
          <w:color w:val="auto"/>
        </w:rPr>
        <w:t>In June 2016, the Company entered into an Exclusive License Agreement with Genentech, Inc. (“Genentech”). The agreement gives the Company access to Genentech’s LRRK2 inhibitor small molecule program for Parkinson’s disease. Under the agreement, Genentech granted the Company (i) an exclusive, worldwide, sublicensable license under Genentech’s rights to certain patents and patent applications directed to small molecule compounds which bind to and inhibit LRRK2 and (ii) a non-exclusive, worldwide, sublicensable license to certain related know-how, in each case, to develop and commercialize certain compounds and licensed products incorporating any such compound.</w:t>
      </w:r>
    </w:p>
    <w:p>
      <w:pPr>
        <w:spacing w:after="0" w:line="148"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The Company may owe Genentech milestone payments upon the achievement of certain development, regulatory, and commercial milestones, up to a maximum of $315.0 million in the aggregate, as well as royalties on net sales of licensed products ranging from low to high single-digit percentages.</w:t>
      </w:r>
    </w:p>
    <w:p>
      <w:pPr>
        <w:spacing w:after="0" w:line="123"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To date, the Company has paid Genentech $12.5 million in the aggregate, including an upfront fee, a technology transfer fee and a clinical milestone payment, all of which were recorded as research and development expense as incurred. No amounts were recorded in the three and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52"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In May 2018, the Company entered into an amendment to its operating lease for its former corporate headquarters in South San Francisco (the "Headquarters Lease Amendment") to relocate and expand its headquarters to 148,020 rentable square feet in a building in South San Francisco, California (the "New Premises"). The Headquarters Lease Amendment has a contractual term of ten years from the legal commencement date, which was April 1, 2019 when the building was ready for occupancy. For accounting purposes, the lease commencement date was determined to be August 1, 2018, which was the date at which the Company was deemed to have obtained control over the property. The Company has an option to extend the lease term for a period of ten years by giving the landlord written notice of the election to exercise the option at least nine months, but not more than twelve months, prior to the expiration of the Headquarters Lease Amendment lease term. The Company determined that this renewal was not reasonably certain at lease inception.</w:t>
      </w:r>
    </w:p>
    <w:p>
      <w:pPr>
        <w:spacing w:after="0" w:line="208" w:lineRule="exact"/>
        <w:rPr>
          <w:sz w:val="20"/>
          <w:szCs w:val="20"/>
          <w:color w:val="auto"/>
        </w:rPr>
      </w:pPr>
    </w:p>
    <w:p>
      <w:pPr>
        <w:ind w:firstLine="486"/>
        <w:spacing w:after="0" w:line="245" w:lineRule="auto"/>
        <w:rPr>
          <w:sz w:val="20"/>
          <w:szCs w:val="20"/>
          <w:color w:val="auto"/>
        </w:rPr>
      </w:pPr>
      <w:r>
        <w:rPr>
          <w:rFonts w:ascii="Arial" w:cs="Arial" w:eastAsia="Arial" w:hAnsi="Arial"/>
          <w:sz w:val="18"/>
          <w:szCs w:val="18"/>
          <w:color w:val="auto"/>
        </w:rPr>
        <w:t>The Headquarters Lease Amendment provides for monthly base rent amounts escalating over the term of the lease. In addition, the Headquarters Lease Amendment provided a tenant improvement allowance ("TIA") of up to $ 25.9 million, which was fully utilized, of which $4.4 million will be repaid to the landlord in the form of additional monthly rent. This is recorded as leasehold improvement assets and an offset to the lease ROU asset on the Condensed Consolidated Balance Sheet as of September 30, 2019. The Company is also required to pay the operating expenses for the New Premises, such as taxes and insurance, which are treated as variable lease payments.</w:t>
      </w:r>
    </w:p>
    <w:p>
      <w:pPr>
        <w:spacing w:after="0" w:line="132"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As of September 30, 2019, the carrying value of the ROU asset was $34.3 million. The related current and non-current liabilities as of September 30, 2019 were $3.3 million and $69.9 million, respectively. The current and non-current lease liabilities are included in Other current liabilities and Operating lease liability, less current portion, respectively, in the Condensed Consolidated Balance Sheets.</w:t>
      </w:r>
    </w:p>
    <w:p>
      <w:pPr>
        <w:spacing w:after="0" w:line="190"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Management exercised judgment in applying the requirements of ASC 842, including the determination as to whether certain contracts contain a lease and for the Headquarters Lease Amendment, the discount rate used to determine the measurement of the lease liability. As the implicit rate of the Headquarters Lease Amendment was not known, the Company estimated a 9.0% discount rate, which was management’s estimate of the Company’s incremental borrowing rate. To estimate the incremental borrowing rate, management considered observable debt yields of comparable market instruments, as well as benchmarks within the Headquarters Lease Amendment that may be indicative of the rate implicit in the lease.</w:t>
      </w:r>
    </w:p>
    <w:p>
      <w:pPr>
        <w:spacing w:after="0" w:line="147"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Total operating lease costs, including variable and short-term lease costs, were $ 2.6 million and $7.4 million for the three and nine months ended September 30, 2019, respectively. Rent expense excluding amortization of leasehold improvements was $2.4 million and $3.7 million for the three and nine months ended September 30, 2018, respectively.</w:t>
      </w:r>
    </w:p>
    <w:p>
      <w:pPr>
        <w:spacing w:after="0" w:line="123"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Operating lease liabilities are calculated as the net present value of the remaining lease payments over the remaining lease term. In determining the present value of lease payments, we use our incremental borrowing rate based on the information available at the lease commencement date. As of September 30, 2019, the weighted average remaining lease term is 9.6 years and the weighted average discount rate used to determine the operating lease liability was 9.0%. Cash paid for amounts included in the measurement of lease liabilities for the nine months ended September 30, 2019 was $3.4 million and was included in Net cash used in operating activities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The following table reconciles the undiscounted cash flows for the next five years and total of the remaining years to the operating lease liabilities recorded in the Condensed Consolidated Balance Sheets as of September 30, 2019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06"/>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2019 (three months)</w:t>
            </w:r>
          </w:p>
        </w:tc>
        <w:tc>
          <w:tcPr>
            <w:tcW w:w="148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68"/>
              <w:spacing w:after="0"/>
              <w:rPr>
                <w:sz w:val="20"/>
                <w:szCs w:val="20"/>
                <w:color w:val="auto"/>
              </w:rPr>
            </w:pPr>
            <w:r>
              <w:rPr>
                <w:rFonts w:ascii="Arial" w:cs="Arial" w:eastAsia="Arial" w:hAnsi="Arial"/>
                <w:sz w:val="14"/>
                <w:szCs w:val="14"/>
                <w:color w:val="auto"/>
              </w:rPr>
              <w:t>2,165</w:t>
            </w: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9,772</w:t>
            </w:r>
          </w:p>
        </w:tc>
      </w:tr>
      <w:tr>
        <w:trPr>
          <w:trHeight w:val="212"/>
        </w:trPr>
        <w:tc>
          <w:tcPr>
            <w:tcW w:w="3460" w:type="dxa"/>
            <w:vAlign w:val="bottom"/>
          </w:tcPr>
          <w:p>
            <w:pPr>
              <w:ind w:left="20"/>
              <w:spacing w:after="0"/>
              <w:rPr>
                <w:sz w:val="20"/>
                <w:szCs w:val="20"/>
                <w:color w:val="auto"/>
              </w:rPr>
            </w:pPr>
            <w:r>
              <w:rPr>
                <w:rFonts w:ascii="Arial" w:cs="Arial" w:eastAsia="Arial" w:hAnsi="Arial"/>
                <w:sz w:val="14"/>
                <w:szCs w:val="14"/>
                <w:color w:val="auto"/>
              </w:rPr>
              <w:t>2021</w:t>
            </w:r>
          </w:p>
        </w:tc>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jc w:val="right"/>
              <w:ind w:right="68"/>
              <w:spacing w:after="0"/>
              <w:rPr>
                <w:sz w:val="20"/>
                <w:szCs w:val="20"/>
                <w:color w:val="auto"/>
              </w:rPr>
            </w:pPr>
            <w:r>
              <w:rPr>
                <w:rFonts w:ascii="Arial" w:cs="Arial" w:eastAsia="Arial" w:hAnsi="Arial"/>
                <w:sz w:val="14"/>
                <w:szCs w:val="14"/>
                <w:color w:val="auto"/>
              </w:rPr>
              <w:t>10,391</w:t>
            </w: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10,731</w:t>
            </w:r>
          </w:p>
        </w:tc>
      </w:tr>
      <w:tr>
        <w:trPr>
          <w:trHeight w:val="212"/>
        </w:trPr>
        <w:tc>
          <w:tcPr>
            <w:tcW w:w="3460" w:type="dxa"/>
            <w:vAlign w:val="bottom"/>
          </w:tcPr>
          <w:p>
            <w:pPr>
              <w:ind w:left="20"/>
              <w:spacing w:after="0"/>
              <w:rPr>
                <w:sz w:val="20"/>
                <w:szCs w:val="20"/>
                <w:color w:val="auto"/>
              </w:rPr>
            </w:pPr>
            <w:r>
              <w:rPr>
                <w:rFonts w:ascii="Arial" w:cs="Arial" w:eastAsia="Arial" w:hAnsi="Arial"/>
                <w:sz w:val="14"/>
                <w:szCs w:val="14"/>
                <w:color w:val="auto"/>
              </w:rPr>
              <w:t>2023</w:t>
            </w:r>
          </w:p>
        </w:tc>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jc w:val="right"/>
              <w:ind w:right="68"/>
              <w:spacing w:after="0"/>
              <w:rPr>
                <w:sz w:val="20"/>
                <w:szCs w:val="20"/>
                <w:color w:val="auto"/>
              </w:rPr>
            </w:pPr>
            <w:r>
              <w:rPr>
                <w:rFonts w:ascii="Arial" w:cs="Arial" w:eastAsia="Arial" w:hAnsi="Arial"/>
                <w:sz w:val="14"/>
                <w:szCs w:val="14"/>
                <w:color w:val="auto"/>
              </w:rPr>
              <w:t>11,083</w:t>
            </w: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 and later</w:t>
            </w:r>
          </w:p>
        </w:tc>
        <w:tc>
          <w:tcPr>
            <w:tcW w:w="14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65,521</w:t>
            </w:r>
          </w:p>
        </w:tc>
      </w:tr>
      <w:tr>
        <w:trPr>
          <w:trHeight w:val="210"/>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Total undiscounted lease payments</w:t>
            </w:r>
          </w:p>
        </w:tc>
        <w:tc>
          <w:tcPr>
            <w:tcW w:w="1480" w:type="dxa"/>
            <w:vAlign w:val="bottom"/>
          </w:tcPr>
          <w:p>
            <w:pPr>
              <w:spacing w:after="0"/>
              <w:rPr>
                <w:sz w:val="18"/>
                <w:szCs w:val="18"/>
                <w:color w:val="auto"/>
              </w:rPr>
            </w:pPr>
          </w:p>
        </w:tc>
        <w:tc>
          <w:tcPr>
            <w:tcW w:w="2020" w:type="dxa"/>
            <w:vAlign w:val="bottom"/>
          </w:tcPr>
          <w:p>
            <w:pPr>
              <w:jc w:val="right"/>
              <w:ind w:right="68"/>
              <w:spacing w:after="0"/>
              <w:rPr>
                <w:sz w:val="20"/>
                <w:szCs w:val="20"/>
                <w:color w:val="auto"/>
              </w:rPr>
            </w:pPr>
            <w:r>
              <w:rPr>
                <w:rFonts w:ascii="Arial" w:cs="Arial" w:eastAsia="Arial" w:hAnsi="Arial"/>
                <w:sz w:val="14"/>
                <w:szCs w:val="14"/>
                <w:color w:val="auto"/>
              </w:rPr>
              <w:t>109,663</w:t>
            </w: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Present value adjustment</w:t>
            </w:r>
          </w:p>
        </w:tc>
        <w:tc>
          <w:tcPr>
            <w:tcW w:w="14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(36,496)</w:t>
            </w:r>
          </w:p>
        </w:tc>
      </w:tr>
      <w:tr>
        <w:trPr>
          <w:trHeight w:val="214"/>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Net operating lease liabilities</w:t>
            </w: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73,167</w:t>
            </w:r>
          </w:p>
        </w:tc>
      </w:tr>
      <w:tr>
        <w:trPr>
          <w:trHeight w:val="21"/>
        </w:trPr>
        <w:tc>
          <w:tcPr>
            <w:tcW w:w="3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October 2018, the Company entered into a sublease agreement ("Sublease Agreement") to sublease approximately 36,835 rentable square feet of space in its New Premises. The Sublease Agreement has a term of five years from the commencement date of April 12, 2019 and provides for the Company to receive monthly base rent amounts escalating over the term of the lease. The Company also passes through a portion of the operating expenses, such as taxes and insurance for the New Premises to the sublessee, which are treated as variable sublease income. Total sublease income, including rent and variable sublease cost reimbursements, was $0.9 million and $1.7 million for the three and nine months ended September 30, 2019, respectively. There was no sublease income for the three and nine months ended September 30, 2018.</w:t>
      </w:r>
    </w:p>
    <w:p>
      <w:pPr>
        <w:spacing w:after="0" w:line="137" w:lineRule="exact"/>
        <w:rPr>
          <w:sz w:val="20"/>
          <w:szCs w:val="20"/>
          <w:color w:val="auto"/>
        </w:rPr>
      </w:pPr>
    </w:p>
    <w:p>
      <w:pPr>
        <w:ind w:right="380" w:firstLine="486"/>
        <w:spacing w:after="0" w:line="292" w:lineRule="auto"/>
        <w:rPr>
          <w:sz w:val="20"/>
          <w:szCs w:val="20"/>
          <w:color w:val="auto"/>
        </w:rPr>
      </w:pPr>
      <w:r>
        <w:rPr>
          <w:rFonts w:ascii="Arial" w:cs="Arial" w:eastAsia="Arial" w:hAnsi="Arial"/>
          <w:sz w:val="18"/>
          <w:szCs w:val="18"/>
          <w:color w:val="auto"/>
        </w:rPr>
        <w:t>The following table details the future undiscounted cash inflows relating to the Company's Sublease Agreement as of September 30, 2019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06"/>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2019 (three months)</w:t>
            </w:r>
          </w:p>
        </w:tc>
        <w:tc>
          <w:tcPr>
            <w:tcW w:w="1520" w:type="dxa"/>
            <w:vAlign w:val="bottom"/>
          </w:tcPr>
          <w:p>
            <w:pPr>
              <w:jc w:val="right"/>
              <w:ind w:right="134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696</w:t>
            </w: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2,842</w:t>
            </w:r>
          </w:p>
        </w:tc>
      </w:tr>
      <w:tr>
        <w:trPr>
          <w:trHeight w:val="212"/>
        </w:trPr>
        <w:tc>
          <w:tcPr>
            <w:tcW w:w="3460" w:type="dxa"/>
            <w:vAlign w:val="bottom"/>
          </w:tcPr>
          <w:p>
            <w:pPr>
              <w:ind w:left="20"/>
              <w:spacing w:after="0"/>
              <w:rPr>
                <w:sz w:val="20"/>
                <w:szCs w:val="20"/>
                <w:color w:val="auto"/>
              </w:rPr>
            </w:pPr>
            <w:r>
              <w:rPr>
                <w:rFonts w:ascii="Arial" w:cs="Arial" w:eastAsia="Arial" w:hAnsi="Arial"/>
                <w:sz w:val="14"/>
                <w:szCs w:val="14"/>
                <w:color w:val="auto"/>
              </w:rPr>
              <w:t>2021</w:t>
            </w:r>
          </w:p>
        </w:tc>
        <w:tc>
          <w:tcPr>
            <w:tcW w:w="4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2,925</w:t>
            </w: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3,009</w:t>
            </w:r>
          </w:p>
        </w:tc>
      </w:tr>
      <w:tr>
        <w:trPr>
          <w:trHeight w:val="212"/>
        </w:trPr>
        <w:tc>
          <w:tcPr>
            <w:tcW w:w="3460" w:type="dxa"/>
            <w:vAlign w:val="bottom"/>
          </w:tcPr>
          <w:p>
            <w:pPr>
              <w:ind w:left="20"/>
              <w:spacing w:after="0"/>
              <w:rPr>
                <w:sz w:val="20"/>
                <w:szCs w:val="20"/>
                <w:color w:val="auto"/>
              </w:rPr>
            </w:pPr>
            <w:r>
              <w:rPr>
                <w:rFonts w:ascii="Arial" w:cs="Arial" w:eastAsia="Arial" w:hAnsi="Arial"/>
                <w:sz w:val="14"/>
                <w:szCs w:val="14"/>
                <w:color w:val="auto"/>
              </w:rPr>
              <w:t>2023</w:t>
            </w:r>
          </w:p>
        </w:tc>
        <w:tc>
          <w:tcPr>
            <w:tcW w:w="4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3,096</w:t>
            </w: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 and later</w:t>
            </w:r>
          </w:p>
        </w:tc>
        <w:tc>
          <w:tcPr>
            <w:tcW w:w="15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875</w:t>
            </w:r>
          </w:p>
        </w:tc>
      </w:tr>
      <w:tr>
        <w:trPr>
          <w:trHeight w:val="214"/>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Total undiscounted sublease receipts</w:t>
            </w:r>
          </w:p>
        </w:tc>
        <w:tc>
          <w:tcPr>
            <w:tcW w:w="152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13,443</w:t>
            </w:r>
          </w:p>
        </w:tc>
      </w:tr>
      <w:tr>
        <w:trPr>
          <w:trHeight w:val="21"/>
        </w:trPr>
        <w:tc>
          <w:tcPr>
            <w:tcW w:w="3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vendors, lessors, business partners, board members, officers, and other parties with respect to certain matters, including, but not limited to, losses arising out of breach of such agreements, services to be provided by the Company, negligence or willful misconduct of the Company, violations of law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balance sheet, statements of comprehensive loss, or statements of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85" w:lineRule="exact"/>
        <w:rPr>
          <w:sz w:val="20"/>
          <w:szCs w:val="20"/>
          <w:color w:val="auto"/>
        </w:rPr>
      </w:pPr>
    </w:p>
    <w:p>
      <w:pPr>
        <w:ind w:right="280" w:firstLine="486"/>
        <w:spacing w:after="0" w:line="260" w:lineRule="auto"/>
        <w:rPr>
          <w:sz w:val="20"/>
          <w:szCs w:val="20"/>
          <w:color w:val="auto"/>
        </w:rPr>
      </w:pPr>
      <w:r>
        <w:rPr>
          <w:rFonts w:ascii="Arial" w:cs="Arial" w:eastAsia="Arial" w:hAnsi="Arial"/>
          <w:sz w:val="18"/>
          <w:szCs w:val="18"/>
          <w:color w:val="auto"/>
        </w:rPr>
        <w:t>Effective September 2017, the Company entered into a Development and Manufacturing Services Agreement as amended (“DMSA”) with Lonza Sales AG (“Lonza”) for the development and manufacture of biologic products. Under the DMSA, the Company will execute purchase orders based on project plans authorizing Lonza to provide development and manufacturing services with respect to certain of the Company's antibody and enzyme products, and will pay for the services provided and batches delivered in accordance with the DMSA and project plan. Unless earlier terminated, the DMSA will expire on September 6, 2022.</w:t>
      </w:r>
    </w:p>
    <w:p>
      <w:pPr>
        <w:spacing w:after="0" w:line="148" w:lineRule="exact"/>
        <w:rPr>
          <w:sz w:val="20"/>
          <w:szCs w:val="20"/>
          <w:color w:val="auto"/>
        </w:rPr>
      </w:pPr>
    </w:p>
    <w:p>
      <w:pPr>
        <w:jc w:val="both"/>
        <w:ind w:right="420" w:firstLine="486"/>
        <w:spacing w:after="0" w:line="264" w:lineRule="auto"/>
        <w:rPr>
          <w:sz w:val="20"/>
          <w:szCs w:val="20"/>
          <w:color w:val="auto"/>
        </w:rPr>
      </w:pPr>
      <w:r>
        <w:rPr>
          <w:rFonts w:ascii="Arial" w:cs="Arial" w:eastAsia="Arial" w:hAnsi="Arial"/>
          <w:sz w:val="18"/>
          <w:szCs w:val="18"/>
          <w:color w:val="auto"/>
        </w:rPr>
        <w:t>As of September 30, 2019 and December 31, 2018, the Company had open non-cancellable purchase orders for biological product development and manufacturing costs totaling $22.7 million and $24.7 million respectively. The activities under these purchase orders are expected to be completed by November 2024. As of September 30, 2019 and December 31, 2018, the Company had total non-refundable purchase commitments of $8.8 million and $14.0 million, respectively, under the DMSA.</w:t>
      </w:r>
    </w:p>
    <w:p>
      <w:pPr>
        <w:spacing w:after="0" w:line="129" w:lineRule="exact"/>
        <w:rPr>
          <w:sz w:val="20"/>
          <w:szCs w:val="20"/>
          <w:color w:val="auto"/>
        </w:rPr>
      </w:pPr>
    </w:p>
    <w:p>
      <w:pPr>
        <w:ind w:right="40" w:firstLine="486"/>
        <w:spacing w:after="0" w:line="284" w:lineRule="auto"/>
        <w:rPr>
          <w:sz w:val="20"/>
          <w:szCs w:val="20"/>
          <w:color w:val="auto"/>
        </w:rPr>
      </w:pPr>
      <w:r>
        <w:rPr>
          <w:rFonts w:ascii="Arial" w:cs="Arial" w:eastAsia="Arial" w:hAnsi="Arial"/>
          <w:sz w:val="17"/>
          <w:szCs w:val="17"/>
          <w:color w:val="auto"/>
        </w:rPr>
        <w:t>During the three months ended September 30, 2019 and 2018, the Company incurred costs of $3.0 million and $1.4 million, respectively, and made payments of $2.5 million and $1.3 million, respectively, for the development and manufacturing services rendered under the DMSA. During the nine months ended September 30, 2019 and 2018, the Company incurred costs of $9.7 million and $2.6 million, respectively, and made payments of $9.0 million and $2.0 million, respectively, for the development and manufacturing services rendered under the DMSA.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Awards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December 2017, the Company adopted the 2017 Equity Incentive Plan (the “2017 Plan”), which initially reserved approximately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6.4 million shares of common stock for the issuance of stock options, restricted stock and other stock awards, to employees,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and consultants under terms and provisions established by the Board of Directors and approved by the stockholders.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Plan provides that the number of shares reserved and available for issuance under the 2017 Plan will automatically increase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beginning on January 1, 2019, by the least of (i) 10.0 million shares, (ii) 5% of the outstanding shares on the last day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preceding fiscal year, or (iii) such number of shares determined by the administrator of the 2017 Plan. In January 2019,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available for issuance under the 2017 Plan was increased by approximately 4.8 million shares as a result of this automatic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w:t>
      </w:r>
    </w:p>
    <w:p>
      <w:pPr>
        <w:spacing w:after="0" w:line="230" w:lineRule="exact"/>
        <w:rPr>
          <w:sz w:val="20"/>
          <w:szCs w:val="20"/>
          <w:color w:val="auto"/>
        </w:rPr>
      </w:pPr>
    </w:p>
    <w:p>
      <w:pPr>
        <w:jc w:val="both"/>
        <w:ind w:right="60" w:firstLine="486"/>
        <w:spacing w:after="0" w:line="271" w:lineRule="auto"/>
        <w:rPr>
          <w:sz w:val="20"/>
          <w:szCs w:val="20"/>
          <w:color w:val="auto"/>
        </w:rPr>
      </w:pPr>
      <w:r>
        <w:rPr>
          <w:rFonts w:ascii="Arial" w:cs="Arial" w:eastAsia="Arial" w:hAnsi="Arial"/>
          <w:sz w:val="18"/>
          <w:szCs w:val="18"/>
          <w:color w:val="auto"/>
        </w:rPr>
        <w:t>Awards granted under the 2017 Plan expire no later than ten years from the date of grant. For stock options, the option price shall not be less than 100% of the estimated fair value of the Company's common stock on the day of grant. Options granted typically vest over a four-year period but may be granted with different vesting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Incentive Plan</w:t>
      </w:r>
    </w:p>
    <w:p>
      <w:pPr>
        <w:spacing w:after="0" w:line="252" w:lineRule="exact"/>
        <w:rPr>
          <w:sz w:val="20"/>
          <w:szCs w:val="20"/>
          <w:color w:val="auto"/>
        </w:rPr>
      </w:pPr>
    </w:p>
    <w:p>
      <w:pPr>
        <w:ind w:right="280" w:firstLine="536"/>
        <w:spacing w:after="0" w:line="263" w:lineRule="auto"/>
        <w:rPr>
          <w:sz w:val="20"/>
          <w:szCs w:val="20"/>
          <w:color w:val="auto"/>
        </w:rPr>
      </w:pPr>
      <w:r>
        <w:rPr>
          <w:rFonts w:ascii="Arial" w:cs="Arial" w:eastAsia="Arial" w:hAnsi="Arial"/>
          <w:sz w:val="18"/>
          <w:szCs w:val="18"/>
          <w:color w:val="auto"/>
        </w:rPr>
        <w:t>In May 2015, the Company adopted the 2015 Stock Incentive Plan (the “2015 Plan”), which as amended, reserved approximately 8.3 million shares of common stock for the issuance of stock options, restricted stock and other stock awards, to employees, non-</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employee directors, and consultants under terms and provisions established by the Board of Directors and approved by the stockholders. Awards granted under the 2015 Plan expire no later than ten years from the date of grant. For stock options, the option price shall not be less than 100% of the estimated fair value of the Company's common stock on the day of grant. Options granted typically vest over a four-year period but may be granted with different vesting terms.</w:t>
      </w:r>
    </w:p>
    <w:p>
      <w:pPr>
        <w:spacing w:after="0" w:line="138"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Upon adoption of the 2017 Plan, no new awards or grants are permitted under the 2015 Plan, and the approximately 0.2 million shares that were then unissued and available for future award under the 2015 Plan became available under the 2017 Plan. The 2015 Plan will continue to govern restricted stock awards and option awards previously granted thereunder.</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2019, there were approximately 3.5 million shares available for the Company to grant under the 2017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option award activity under the 2017 Plan and the 2015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1"/>
                <w:szCs w:val="11"/>
                <w:color w:val="auto"/>
              </w:rPr>
            </w:pPr>
          </w:p>
        </w:tc>
        <w:tc>
          <w:tcPr>
            <w:tcW w:w="12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Average</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1"/>
                <w:szCs w:val="11"/>
                <w:color w:val="auto"/>
              </w:rPr>
            </w:pPr>
          </w:p>
        </w:tc>
        <w:tc>
          <w:tcPr>
            <w:tcW w:w="12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50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9,612,652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97,804</w:t>
            </w: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4"/>
                <w:szCs w:val="14"/>
                <w:color w:val="auto"/>
              </w:rPr>
              <w:t>Options granted</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3,520,585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18.67</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Options exercised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Options forfeited</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(670,577)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16.65</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11,763,422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12.95</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27,922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40"/>
              <w:spacing w:after="0"/>
              <w:rPr>
                <w:sz w:val="20"/>
                <w:szCs w:val="20"/>
                <w:color w:val="auto"/>
              </w:rPr>
            </w:pPr>
            <w:r>
              <w:rPr>
                <w:rFonts w:ascii="Arial" w:cs="Arial" w:eastAsia="Arial" w:hAnsi="Arial"/>
                <w:sz w:val="14"/>
                <w:szCs w:val="14"/>
                <w:color w:val="auto"/>
              </w:rPr>
              <w:t>Options vested and expected to vest at September 30, 2019</w:t>
            </w: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10,018,690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exercisable at September 30, 2019</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3,452,908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14,851</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Aggregate intrinsic value represents the difference between the fair value of the Company's common stock and the exercise price of outstanding options. The total intrinsic value of options exercised was $3.9 million and $12.3 million for the three and nine months ended September 30, 2019, respectively, and $2.6 million and $7.3 million for the three and nine months ended September 30, 2018, respectively. During the three and nine months ended September 30, 2019, the weighted-average grant date fair value of the vested options was $8.73 and $10.25 per share, respectively. During the three and nine months ended September 30, 2018, the weighted-average grant-date fair value of the vested options was $4.01 and $3.29 per share, respectively. The weighted-average grant date fair value of all options granted during the three and nine months ended September 30, 2019 was $12.03 and $11.92 per share, respectively. The weighted-average grant date fair value of all options granted during the three and nine months ended September 30, 2018 was $11.01 and $15.05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Granted to Employees with Service-Based Vesting</w:t>
      </w:r>
    </w:p>
    <w:p>
      <w:pPr>
        <w:spacing w:after="0" w:line="252"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The estimated fair value of stock options granted to employees were calculated using the Black-Scholes option-pricing model using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3940" w:type="dxa"/>
            <w:vAlign w:val="bottom"/>
            <w:gridSpan w:val="7"/>
          </w:tcPr>
          <w:p>
            <w:pPr>
              <w:ind w:left="700"/>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tcPr>
          <w:p>
            <w:pPr>
              <w:spacing w:after="0"/>
              <w:rPr>
                <w:sz w:val="17"/>
                <w:szCs w:val="17"/>
                <w:color w:val="auto"/>
              </w:rPr>
            </w:pPr>
          </w:p>
        </w:tc>
        <w:tc>
          <w:tcPr>
            <w:tcW w:w="356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2920" w:type="dxa"/>
            <w:vAlign w:val="bottom"/>
            <w:tcBorders>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2018</w:t>
            </w:r>
          </w:p>
        </w:tc>
      </w:tr>
      <w:tr>
        <w:trPr>
          <w:trHeight w:val="211"/>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8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88"/>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668"/>
              <w:spacing w:after="0"/>
              <w:rPr>
                <w:sz w:val="20"/>
                <w:szCs w:val="20"/>
                <w:color w:val="auto"/>
              </w:rPr>
            </w:pPr>
            <w:r>
              <w:rPr>
                <w:rFonts w:ascii="Arial" w:cs="Arial" w:eastAsia="Arial" w:hAnsi="Arial"/>
                <w:sz w:val="14"/>
                <w:szCs w:val="14"/>
                <w:color w:val="auto"/>
              </w:rPr>
              <w:t>5.50 - 6.08</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5.50 - 6.08</w:t>
            </w: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840" w:type="dxa"/>
            <w:vAlign w:val="bottom"/>
          </w:tcPr>
          <w:p>
            <w:pPr>
              <w:jc w:val="right"/>
              <w:spacing w:after="0"/>
              <w:rPr>
                <w:sz w:val="20"/>
                <w:szCs w:val="20"/>
                <w:color w:val="auto"/>
              </w:rPr>
            </w:pPr>
            <w:r>
              <w:rPr>
                <w:rFonts w:ascii="Arial" w:cs="Arial" w:eastAsia="Arial" w:hAnsi="Arial"/>
                <w:sz w:val="14"/>
                <w:szCs w:val="14"/>
                <w:color w:val="auto"/>
              </w:rPr>
              <w:t>65.5%</w:t>
            </w:r>
          </w:p>
        </w:tc>
        <w:tc>
          <w:tcPr>
            <w:tcW w:w="1040" w:type="dxa"/>
            <w:vAlign w:val="bottom"/>
          </w:tcPr>
          <w:p>
            <w:pPr>
              <w:ind w:left="20"/>
              <w:spacing w:after="0"/>
              <w:rPr>
                <w:sz w:val="20"/>
                <w:szCs w:val="20"/>
                <w:color w:val="auto"/>
              </w:rPr>
            </w:pPr>
            <w:r>
              <w:rPr>
                <w:rFonts w:ascii="Arial" w:cs="Arial" w:eastAsia="Arial" w:hAnsi="Arial"/>
                <w:sz w:val="14"/>
                <w:szCs w:val="14"/>
                <w:color w:val="auto"/>
              </w:rPr>
              <w:t>- 66.1%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ind w:left="20"/>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65.5%</w:t>
            </w:r>
          </w:p>
        </w:tc>
        <w:tc>
          <w:tcPr>
            <w:tcW w:w="1200" w:type="dxa"/>
            <w:vAlign w:val="bottom"/>
          </w:tcPr>
          <w:p>
            <w:pPr>
              <w:ind w:left="20"/>
              <w:spacing w:after="0"/>
              <w:rPr>
                <w:sz w:val="20"/>
                <w:szCs w:val="20"/>
                <w:color w:val="auto"/>
              </w:rPr>
            </w:pPr>
            <w:r>
              <w:rPr>
                <w:rFonts w:ascii="Arial" w:cs="Arial" w:eastAsia="Arial" w:hAnsi="Arial"/>
                <w:sz w:val="14"/>
                <w:szCs w:val="14"/>
                <w:color w:val="auto"/>
              </w:rPr>
              <w:t>- 77.8%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80.0%</w:t>
            </w:r>
          </w:p>
        </w:tc>
        <w:tc>
          <w:tcPr>
            <w:tcW w:w="1240" w:type="dxa"/>
            <w:vAlign w:val="bottom"/>
          </w:tcPr>
          <w:p>
            <w:pPr>
              <w:ind w:left="20"/>
              <w:spacing w:after="0"/>
              <w:rPr>
                <w:sz w:val="20"/>
                <w:szCs w:val="20"/>
                <w:color w:val="auto"/>
              </w:rPr>
            </w:pPr>
            <w:r>
              <w:rPr>
                <w:rFonts w:ascii="Arial" w:cs="Arial" w:eastAsia="Arial" w:hAnsi="Arial"/>
                <w:sz w:val="14"/>
                <w:szCs w:val="14"/>
                <w:color w:val="auto"/>
              </w:rPr>
              <w:t>- 87.5%</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- 2.9%</w:t>
            </w:r>
          </w:p>
        </w:tc>
      </w:tr>
      <w:tr>
        <w:trPr>
          <w:trHeight w:val="222"/>
        </w:trPr>
        <w:tc>
          <w:tcPr>
            <w:tcW w:w="29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0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color w:val="auto"/>
                <w:w w:val="99"/>
              </w:rPr>
              <w:t>—</w:t>
            </w:r>
          </w:p>
        </w:tc>
        <w:tc>
          <w:tcPr>
            <w:tcW w:w="2300" w:type="dxa"/>
            <w:vAlign w:val="bottom"/>
            <w:gridSpan w:val="3"/>
          </w:tcPr>
          <w:p>
            <w:pPr>
              <w:ind w:left="960"/>
              <w:spacing w:after="0"/>
              <w:rPr>
                <w:sz w:val="20"/>
                <w:szCs w:val="20"/>
                <w:color w:val="auto"/>
              </w:rPr>
            </w:pPr>
            <w:r>
              <w:rPr>
                <w:rFonts w:ascii="Arial" w:cs="Arial" w:eastAsia="Arial" w:hAnsi="Arial"/>
                <w:sz w:val="14"/>
                <w:szCs w:val="14"/>
                <w:color w:val="auto"/>
              </w:rPr>
              <w:t>—</w:t>
            </w:r>
          </w:p>
        </w:tc>
        <w:tc>
          <w:tcPr>
            <w:tcW w:w="2240" w:type="dxa"/>
            <w:vAlign w:val="bottom"/>
            <w:gridSpan w:val="2"/>
          </w:tcPr>
          <w:p>
            <w:pPr>
              <w:ind w:left="980"/>
              <w:spacing w:after="0"/>
              <w:rPr>
                <w:sz w:val="20"/>
                <w:szCs w:val="20"/>
                <w:color w:val="auto"/>
              </w:rPr>
            </w:pPr>
            <w:r>
              <w:rPr>
                <w:rFonts w:ascii="Arial" w:cs="Arial" w:eastAsia="Arial" w:hAnsi="Arial"/>
                <w:sz w:val="14"/>
                <w:szCs w:val="14"/>
                <w:color w:val="auto"/>
              </w:rPr>
              <w:t>—</w:t>
            </w:r>
          </w:p>
        </w:tc>
      </w:tr>
    </w:tbl>
    <w:p>
      <w:pPr>
        <w:spacing w:after="0" w:line="323" w:lineRule="exact"/>
        <w:rPr>
          <w:sz w:val="20"/>
          <w:szCs w:val="20"/>
          <w:color w:val="auto"/>
        </w:rPr>
      </w:pPr>
    </w:p>
    <w:p>
      <w:pPr>
        <w:ind w:right="440" w:firstLine="450"/>
        <w:spacing w:after="0" w:line="29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options granted are expected to be outstanding and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(based on the mid-point between the vesting date and the end of the contractual term).</w:t>
      </w:r>
    </w:p>
    <w:p>
      <w:pPr>
        <w:spacing w:after="0" w:line="17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uses an average historical stock price volatility of comparable public companies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and pharmaceutical industry that were deemed to be representative of future stock price trends as the Company does not have sufficient trading history for its common stock. The Company will continue to apply this process until a sufficient amount of historical information regarding the volatility of its own stock price becomes available.</w:t>
      </w:r>
    </w:p>
    <w:p>
      <w:pPr>
        <w:spacing w:after="0" w:line="197" w:lineRule="exact"/>
        <w:rPr>
          <w:sz w:val="20"/>
          <w:szCs w:val="20"/>
          <w:color w:val="auto"/>
        </w:rPr>
      </w:pPr>
    </w:p>
    <w:p>
      <w:pPr>
        <w:ind w:right="460" w:firstLine="450"/>
        <w:spacing w:after="0" w:line="292"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based the risk-free interest rate over the expected term of the options based on the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rate of U.S. Treasury securities with similar maturities as of the date of the grant.</w:t>
      </w:r>
    </w:p>
    <w:p>
      <w:pPr>
        <w:spacing w:after="0" w:line="172" w:lineRule="exact"/>
        <w:rPr>
          <w:sz w:val="20"/>
          <w:szCs w:val="20"/>
          <w:color w:val="auto"/>
        </w:rPr>
      </w:pPr>
    </w:p>
    <w:p>
      <w:pPr>
        <w:ind w:right="460" w:firstLine="450"/>
        <w:spacing w:after="0" w:line="292"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paid and does not anticipate paying any dividends in the near future.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was zero.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Market Contingent Stock Options Granted to Employees</w:t>
      </w:r>
    </w:p>
    <w:p>
      <w:pPr>
        <w:spacing w:after="0" w:line="252" w:lineRule="exact"/>
        <w:rPr>
          <w:sz w:val="20"/>
          <w:szCs w:val="20"/>
          <w:color w:val="auto"/>
        </w:rPr>
      </w:pPr>
    </w:p>
    <w:p>
      <w:pPr>
        <w:jc w:val="center"/>
        <w:spacing w:after="0" w:line="292" w:lineRule="auto"/>
        <w:rPr>
          <w:sz w:val="20"/>
          <w:szCs w:val="20"/>
          <w:color w:val="auto"/>
        </w:rPr>
      </w:pPr>
      <w:r>
        <w:rPr>
          <w:rFonts w:ascii="Arial" w:cs="Arial" w:eastAsia="Arial" w:hAnsi="Arial"/>
          <w:sz w:val="18"/>
          <w:szCs w:val="18"/>
          <w:color w:val="auto"/>
        </w:rPr>
        <w:t>In August and November 2015, the Board of Directors granted approximately 1.6 million and 0.1 million shares of performance- and market- contingent awards to members of the senior management team, respectively. These awards have an exercise price of $0.68 per share.</w:t>
      </w:r>
    </w:p>
    <w:p>
      <w:pPr>
        <w:spacing w:after="0" w:line="11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These awards have two separate market triggers for vesting based upon either (i) the successful achievement of stepped target closing prices on a national securities exchange for 90 consecutive trading days later than 180 days after the Company’s initial public offering for its common stock, or (ii) stepped target prices for a change in control transaction. In the event that neither of these market triggers are achieved by the specified timelines, such awards will terminate with respect to that portion of the shares. The expense recognized associated with these performance- and market- contingent awards was $0.3 million and $0.1 million of general and administrative and research and development expense, respectively, for the three months ended September 30, 2019, and $5.1 million and $0.5 million of general and administrative and research and development expense, respectively, for the nine months ended September 30, 2019. The remaining expense for these awards, to be recognized using the accelerated attribution method, is $0.4 million, which will be recognized over the remaining derived service period of approximately one year.</w:t>
      </w:r>
    </w:p>
    <w:p>
      <w:pPr>
        <w:spacing w:after="0" w:line="141"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The Company used a lattice model with a Monte Carlo simulation to value these stock options. This valuation methodology utilized the estimated fair value of the Company’s common stock on grant date and several key assumptions, including expected volatility of the Company’s stock price based on comparable public companies, risk-free rates of return and expected dividend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Granted to Non-Employees with Service-Based Vesting Valuation Assumptions</w:t>
      </w:r>
    </w:p>
    <w:p>
      <w:pPr>
        <w:spacing w:after="0" w:line="252"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Stock-based compensation related to stock options granted to non-employees is recognized as the stock options are earned. Prior to the adoption of ASU 2018-07 during the third quarter of 2018, the unvested options granted to non-employees were revalued using the Company's estimate of fair value on each reporting date. Subsequent to the adoption of ASU 2018-07, existing stock options granted to non-employees are no longer revalued, and the estimated fair value of new stock options granted to non-employees is calculated on the date of grant and not remeasured, similar to stock options granted to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Activity</w:t>
      </w:r>
    </w:p>
    <w:p>
      <w:pPr>
        <w:spacing w:after="0" w:line="18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Under the 2017 Plan, the Company may grant restricted stock awards ("RSAs"), which represent restricted shares of issued common stock for which the recipient's rights in the stock are restricted until the shares are vested, and restricted stock units ("RSUs"), which represent a commitment to issue shares of common stock in the future upon vesting. The fair value of restricted stock underlying the RSAs and RSUs is determined based on the closing market price of the Company's common stock on the date of grant.</w:t>
      </w:r>
    </w:p>
    <w:p>
      <w:pPr>
        <w:spacing w:after="0" w:line="143"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Aggregated information regarding RSAs and RSUs granted under the Plan for the nine months ended September 30, 2019 is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48"/>
              <w:spacing w:after="0"/>
              <w:rPr>
                <w:sz w:val="20"/>
                <w:szCs w:val="20"/>
                <w:color w:val="auto"/>
              </w:rPr>
            </w:pPr>
            <w:r>
              <w:rPr>
                <w:rFonts w:ascii="Arial" w:cs="Arial" w:eastAsia="Arial" w:hAnsi="Arial"/>
                <w:sz w:val="14"/>
                <w:szCs w:val="14"/>
                <w:b w:val="1"/>
                <w:bCs w:val="1"/>
                <w:color w:val="auto"/>
              </w:rPr>
              <w:t>Weighted-Average Fair</w:t>
            </w:r>
          </w:p>
        </w:tc>
      </w:tr>
      <w:tr>
        <w:trPr>
          <w:trHeight w:val="162"/>
        </w:trPr>
        <w:tc>
          <w:tcPr>
            <w:tcW w:w="7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at Date of Grant per</w:t>
            </w:r>
          </w:p>
        </w:tc>
      </w:tr>
      <w:tr>
        <w:trPr>
          <w:trHeight w:val="203"/>
        </w:trPr>
        <w:tc>
          <w:tcPr>
            <w:tcW w:w="74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 Awards &amp; Units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Share</w:t>
            </w: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December 31, 2018</w:t>
            </w:r>
          </w:p>
        </w:tc>
        <w:tc>
          <w:tcPr>
            <w:tcW w:w="1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503,243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r>
      <w:tr>
        <w:trPr>
          <w:trHeight w:val="212"/>
        </w:trPr>
        <w:tc>
          <w:tcPr>
            <w:tcW w:w="7400" w:type="dxa"/>
            <w:vAlign w:val="bottom"/>
          </w:tcPr>
          <w:p>
            <w:pPr>
              <w:ind w:left="220"/>
              <w:spacing w:after="0"/>
              <w:rPr>
                <w:sz w:val="20"/>
                <w:szCs w:val="20"/>
                <w:color w:val="auto"/>
              </w:rPr>
            </w:pPr>
            <w:r>
              <w:rPr>
                <w:rFonts w:ascii="Arial" w:cs="Arial" w:eastAsia="Arial" w:hAnsi="Arial"/>
                <w:sz w:val="14"/>
                <w:szCs w:val="14"/>
                <w:color w:val="auto"/>
              </w:rPr>
              <w:t>Granted</w:t>
            </w:r>
          </w:p>
        </w:tc>
        <w:tc>
          <w:tcPr>
            <w:tcW w:w="1940" w:type="dxa"/>
            <w:vAlign w:val="bottom"/>
          </w:tcPr>
          <w:p>
            <w:pPr>
              <w:jc w:val="right"/>
              <w:ind w:right="68"/>
              <w:spacing w:after="0"/>
              <w:rPr>
                <w:sz w:val="20"/>
                <w:szCs w:val="20"/>
                <w:color w:val="auto"/>
              </w:rPr>
            </w:pPr>
            <w:r>
              <w:rPr>
                <w:rFonts w:ascii="Arial" w:cs="Arial" w:eastAsia="Arial" w:hAnsi="Arial"/>
                <w:sz w:val="14"/>
                <w:szCs w:val="14"/>
                <w:color w:val="auto"/>
              </w:rPr>
              <w:t>785,109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19.16</w:t>
            </w:r>
          </w:p>
        </w:tc>
      </w:tr>
      <w:tr>
        <w:trPr>
          <w:trHeight w:val="220"/>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 and released</w:t>
            </w:r>
          </w:p>
        </w:tc>
        <w:tc>
          <w:tcPr>
            <w:tcW w:w="1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(419,064)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w:t>
            </w:r>
          </w:p>
        </w:tc>
      </w:tr>
      <w:tr>
        <w:trPr>
          <w:trHeight w:val="212"/>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Forfeited</w:t>
            </w:r>
          </w:p>
        </w:tc>
        <w:tc>
          <w:tcPr>
            <w:tcW w:w="1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20.81</w:t>
            </w:r>
          </w:p>
        </w:tc>
      </w:tr>
      <w:tr>
        <w:trPr>
          <w:trHeight w:val="23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September 30, 2019</w:t>
            </w:r>
          </w:p>
        </w:tc>
        <w:tc>
          <w:tcPr>
            <w:tcW w:w="1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826,511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18.94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190"/>
        </w:trPr>
        <w:tc>
          <w:tcPr>
            <w:tcW w:w="7400" w:type="dxa"/>
            <w:vAlign w:val="bottom"/>
          </w:tcPr>
          <w:p>
            <w:pPr>
              <w:ind w:left="20"/>
              <w:spacing w:after="0"/>
              <w:rPr>
                <w:sz w:val="20"/>
                <w:szCs w:val="20"/>
                <w:color w:val="auto"/>
              </w:rPr>
            </w:pPr>
            <w:r>
              <w:rPr>
                <w:rFonts w:ascii="Arial" w:cs="Arial" w:eastAsia="Arial" w:hAnsi="Arial"/>
                <w:sz w:val="14"/>
                <w:szCs w:val="14"/>
                <w:color w:val="auto"/>
              </w:rPr>
              <w:t>Expected to vest - September 30, 2019</w:t>
            </w:r>
          </w:p>
        </w:tc>
        <w:tc>
          <w:tcPr>
            <w:tcW w:w="1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826,511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18.94</w:t>
            </w:r>
          </w:p>
        </w:tc>
      </w:tr>
      <w:tr>
        <w:trPr>
          <w:trHeight w:val="21"/>
        </w:trPr>
        <w:tc>
          <w:tcPr>
            <w:tcW w:w="74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In December 2017, the Company adopted the 2017 Employee Stock Purchase Plan (the “2017 ESPP”), which initially reserved 1.0 million shares of common stock for employee purchases under terms and provisions established by the Board of Directors. The 2017 ESPP provides that the number of shares reserved and available for issuance under the 2017 ESPP will automatically increase each January 1, beginning on January 1, 2019, by the least of (i) 2.0 million shares, (ii) 1% of the outstanding shares on the last day of the immediately preceding fiscal year, or (iii) such number of shares determined by the administrator of the 2017 Plan. In January 2019, common stock available for issuance under the 2017 ESPP was increased by approximately 1.0 million shares as a result of this automatic increase provision.</w:t>
      </w:r>
    </w:p>
    <w:p>
      <w:pPr>
        <w:spacing w:after="0" w:line="20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Under the 2017 ESPP, employees may purchase common stock through payroll deductions at a price equal to 85% of the lower of the fair market value of common stock on the first trading day of each offering period or on the exercise date. The 2017 ESPP provides for consecutive, overlapping 12-month offering periods. The offering periods are scheduled to start on the first trading day on or after May 31 or November 30 of each year. Contributions under the 2017 ESPP are limited to a maximum of 15% of an employee's eligible compensation. During the three months ended September 30, 2019 and 2018, the Company did not issue any shares of common stock under the 2017 ESPP plan. During the nine months ended September 30, 2019 and 2018, there were 0.1 million shares of common stock issued under the 2017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results of operations include expenses relating to stock-based compensation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4,923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7,179</w:t>
            </w:r>
          </w:p>
        </w:tc>
      </w:tr>
      <w:tr>
        <w:trPr>
          <w:trHeight w:val="21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3,978</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15,289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5,966</w:t>
            </w:r>
          </w:p>
        </w:tc>
      </w:tr>
      <w:tr>
        <w:trPr>
          <w:trHeight w:val="235"/>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8,901</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29,489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13,145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As of September 30, 2019, total unamortized stock-based compensation expense related to employee and non-employee awards was $84.7 million. The weighted-average periods over which such stock-based compensation expense will be recognized is approximately 2.9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87"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shares of common stock outstanding would have been anti-dilutive.</w:t>
      </w:r>
    </w:p>
    <w:p>
      <w:pPr>
        <w:spacing w:after="0" w:line="172" w:lineRule="exact"/>
        <w:rPr>
          <w:sz w:val="20"/>
          <w:szCs w:val="20"/>
          <w:color w:val="auto"/>
        </w:rPr>
      </w:pPr>
    </w:p>
    <w:p>
      <w:pPr>
        <w:ind w:right="460" w:firstLine="486"/>
        <w:spacing w:after="0" w:line="292"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and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19050</wp:posOffset>
            </wp:positionV>
            <wp:extent cx="3241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2018</w:t>
            </w:r>
          </w:p>
        </w:tc>
      </w:tr>
      <w:tr>
        <w:trPr>
          <w:trHeight w:val="211"/>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issued and outstanding and ESPP shares issuable</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11,981,119</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9,644,444</w:t>
            </w:r>
          </w:p>
        </w:tc>
      </w:tr>
      <w:tr>
        <w:trPr>
          <w:trHeight w:val="216"/>
        </w:trPr>
        <w:tc>
          <w:tcPr>
            <w:tcW w:w="7840" w:type="dxa"/>
            <w:vAlign w:val="bottom"/>
            <w:gridSpan w:val="2"/>
          </w:tcPr>
          <w:p>
            <w:pPr>
              <w:ind w:left="20"/>
              <w:spacing w:after="0"/>
              <w:rPr>
                <w:sz w:val="20"/>
                <w:szCs w:val="20"/>
                <w:color w:val="auto"/>
              </w:rPr>
            </w:pPr>
            <w:r>
              <w:rPr>
                <w:rFonts w:ascii="Arial" w:cs="Arial" w:eastAsia="Arial" w:hAnsi="Arial"/>
                <w:sz w:val="14"/>
                <w:szCs w:val="14"/>
                <w:color w:val="auto"/>
              </w:rPr>
              <w:t>Restricted shares subject to future vesting</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826,511</w:t>
            </w:r>
          </w:p>
        </w:tc>
        <w:tc>
          <w:tcPr>
            <w:tcW w:w="120" w:type="dxa"/>
            <w:vAlign w:val="bottom"/>
          </w:tcPr>
          <w:p>
            <w:pPr>
              <w:spacing w:after="0"/>
              <w:rPr>
                <w:sz w:val="18"/>
                <w:szCs w:val="18"/>
                <w:color w:val="auto"/>
              </w:rPr>
            </w:pPr>
          </w:p>
        </w:tc>
        <w:tc>
          <w:tcPr>
            <w:tcW w:w="2440" w:type="dxa"/>
            <w:vAlign w:val="bottom"/>
          </w:tcPr>
          <w:p>
            <w:pPr>
              <w:jc w:val="right"/>
              <w:ind w:right="88"/>
              <w:spacing w:after="0"/>
              <w:rPr>
                <w:sz w:val="20"/>
                <w:szCs w:val="20"/>
                <w:color w:val="auto"/>
              </w:rPr>
            </w:pPr>
            <w:r>
              <w:rPr>
                <w:rFonts w:ascii="Arial" w:cs="Arial" w:eastAsia="Arial" w:hAnsi="Arial"/>
                <w:sz w:val="14"/>
                <w:szCs w:val="14"/>
                <w:color w:val="auto"/>
              </w:rPr>
              <w:t>910,452</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exercised common stock subject to future vesting</w:t>
            </w:r>
          </w:p>
        </w:tc>
        <w:tc>
          <w:tcPr>
            <w:tcW w:w="1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10,423</w:t>
            </w:r>
          </w:p>
        </w:tc>
        <w:tc>
          <w:tcPr>
            <w:tcW w:w="120" w:type="dxa"/>
            <w:vAlign w:val="bottom"/>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182,299</w:t>
            </w:r>
          </w:p>
        </w:tc>
      </w:tr>
      <w:tr>
        <w:trPr>
          <w:trHeight w:val="210"/>
        </w:trPr>
        <w:tc>
          <w:tcPr>
            <w:tcW w:w="784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12,818,053</w:t>
            </w:r>
          </w:p>
        </w:tc>
        <w:tc>
          <w:tcPr>
            <w:tcW w:w="120" w:type="dxa"/>
            <w:vAlign w:val="bottom"/>
          </w:tcPr>
          <w:p>
            <w:pPr>
              <w:spacing w:after="0"/>
              <w:rPr>
                <w:sz w:val="18"/>
                <w:szCs w:val="18"/>
                <w:color w:val="auto"/>
              </w:rPr>
            </w:pPr>
          </w:p>
        </w:tc>
        <w:tc>
          <w:tcPr>
            <w:tcW w:w="2440" w:type="dxa"/>
            <w:vAlign w:val="bottom"/>
          </w:tcPr>
          <w:p>
            <w:pPr>
              <w:jc w:val="right"/>
              <w:ind w:right="88"/>
              <w:spacing w:after="0"/>
              <w:rPr>
                <w:sz w:val="20"/>
                <w:szCs w:val="20"/>
                <w:color w:val="auto"/>
              </w:rPr>
            </w:pPr>
            <w:r>
              <w:rPr>
                <w:rFonts w:ascii="Arial" w:cs="Arial" w:eastAsia="Arial" w:hAnsi="Arial"/>
                <w:sz w:val="14"/>
                <w:szCs w:val="14"/>
                <w:color w:val="auto"/>
              </w:rPr>
              <w:t>10,737,195</w:t>
            </w:r>
          </w:p>
        </w:tc>
      </w:tr>
      <w:tr>
        <w:trPr>
          <w:trHeight w:val="21"/>
        </w:trPr>
        <w:tc>
          <w:tcPr>
            <w:tcW w:w="6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elsewhere in this Quarterly Report on Form 10-Q.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included in this Quarterly Report on Form 10-Q.</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Forward-looking statements include, but are not limited to, statements about:</w:t>
      </w:r>
    </w:p>
    <w:p>
      <w:pPr>
        <w:spacing w:after="0" w:line="252" w:lineRule="exact"/>
        <w:rPr>
          <w:sz w:val="20"/>
          <w:szCs w:val="20"/>
          <w:color w:val="auto"/>
        </w:rPr>
      </w:pPr>
    </w:p>
    <w:p>
      <w:pPr>
        <w:ind w:left="900" w:right="32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success, cost and timing of our development activities, preclinical studies and clinical trials, including the enrollment in such trials, and in particular the development of our blood-brain barrier (“BBB”) platform technology, core programs and biomarkers;</w:t>
      </w:r>
    </w:p>
    <w:p>
      <w:pPr>
        <w:spacing w:after="0" w:line="176" w:lineRule="exact"/>
        <w:rPr>
          <w:rFonts w:ascii="Arial" w:cs="Arial" w:eastAsia="Arial" w:hAnsi="Arial"/>
          <w:sz w:val="18"/>
          <w:szCs w:val="18"/>
          <w:color w:val="auto"/>
        </w:rPr>
      </w:pPr>
    </w:p>
    <w:p>
      <w:pPr>
        <w:ind w:left="900" w:right="50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extent to which any dosing limitations that we have been subject to, and/or may be subject to in the future, may affect the success of our product candidates;</w:t>
      </w:r>
    </w:p>
    <w:p>
      <w:pPr>
        <w:spacing w:after="0" w:line="176" w:lineRule="exact"/>
        <w:rPr>
          <w:rFonts w:ascii="Arial" w:cs="Arial" w:eastAsia="Arial" w:hAnsi="Arial"/>
          <w:sz w:val="18"/>
          <w:szCs w:val="18"/>
          <w:color w:val="auto"/>
        </w:rPr>
      </w:pPr>
    </w:p>
    <w:p>
      <w:pPr>
        <w:ind w:left="900" w:right="38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preclinical findings on our ability to achieve exposures of our product candidates that allow us to explore a robust pharmacodynamic range of these candidates in humans;</w:t>
      </w:r>
    </w:p>
    <w:p>
      <w:pPr>
        <w:spacing w:after="0" w:line="176" w:lineRule="exact"/>
        <w:rPr>
          <w:rFonts w:ascii="Arial" w:cs="Arial" w:eastAsia="Arial" w:hAnsi="Arial"/>
          <w:sz w:val="18"/>
          <w:szCs w:val="18"/>
          <w:color w:val="auto"/>
        </w:rPr>
      </w:pPr>
    </w:p>
    <w:p>
      <w:pPr>
        <w:ind w:left="900" w:right="44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expected potential benefits and potential revenue resulting from strategic collaborations with third parties and our ability to attract collaborators with development, regulatory and commercialization expertise;</w:t>
      </w:r>
    </w:p>
    <w:p>
      <w:pPr>
        <w:spacing w:after="0" w:line="176"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and approvals;</w:t>
      </w:r>
    </w:p>
    <w:p>
      <w:pPr>
        <w:spacing w:after="0" w:line="252" w:lineRule="exact"/>
        <w:rPr>
          <w:rFonts w:ascii="Arial" w:cs="Arial" w:eastAsia="Arial" w:hAnsi="Arial"/>
          <w:sz w:val="18"/>
          <w:szCs w:val="18"/>
          <w:color w:val="auto"/>
        </w:rPr>
      </w:pPr>
    </w:p>
    <w:p>
      <w:pPr>
        <w:ind w:left="900" w:right="44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regulatory approval of our product candidates, and any related restrictions, limitations and/or warnings in the label of any approved product candidate;</w:t>
      </w:r>
    </w:p>
    <w:p>
      <w:pPr>
        <w:spacing w:after="0" w:line="176" w:lineRule="exact"/>
        <w:rPr>
          <w:rFonts w:ascii="Arial" w:cs="Arial" w:eastAsia="Arial" w:hAnsi="Arial"/>
          <w:sz w:val="18"/>
          <w:szCs w:val="18"/>
          <w:color w:val="auto"/>
        </w:rPr>
      </w:pPr>
    </w:p>
    <w:p>
      <w:pPr>
        <w:ind w:left="900" w:right="26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scope of protection we are able to establish and maintain for intellectual property rights covering our product candidates and technology;</w:t>
      </w:r>
    </w:p>
    <w:p>
      <w:pPr>
        <w:spacing w:after="0" w:line="176" w:lineRule="exact"/>
        <w:rPr>
          <w:rFonts w:ascii="Arial" w:cs="Arial" w:eastAsia="Arial" w:hAnsi="Arial"/>
          <w:sz w:val="18"/>
          <w:szCs w:val="18"/>
          <w:color w:val="auto"/>
        </w:rPr>
      </w:pPr>
    </w:p>
    <w:p>
      <w:pPr>
        <w:ind w:left="90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terms and conditions of licenses granted to us and our ability to license and/or acquire additional intellectual property relating to our product candidates and BBB platform technology;</w:t>
      </w:r>
    </w:p>
    <w:p>
      <w:pPr>
        <w:spacing w:after="0" w:line="176" w:lineRule="exact"/>
        <w:rPr>
          <w:rFonts w:ascii="Arial" w:cs="Arial" w:eastAsia="Arial" w:hAnsi="Arial"/>
          <w:sz w:val="18"/>
          <w:szCs w:val="18"/>
          <w:color w:val="auto"/>
        </w:rPr>
      </w:pPr>
    </w:p>
    <w:p>
      <w:pPr>
        <w:ind w:left="900" w:right="6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funding necessary to develop and commercialize our current and potential future product candidates;</w:t>
      </w:r>
    </w:p>
    <w:p>
      <w:pPr>
        <w:spacing w:after="0" w:line="176" w:lineRule="exact"/>
        <w:rPr>
          <w:rFonts w:ascii="Arial" w:cs="Arial" w:eastAsia="Arial" w:hAnsi="Arial"/>
          <w:sz w:val="18"/>
          <w:szCs w:val="18"/>
          <w:color w:val="auto"/>
        </w:rPr>
      </w:pPr>
    </w:p>
    <w:p>
      <w:pPr>
        <w:ind w:left="900" w:right="4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plans and ability to establish sales, marketing and distribution infrastructure to commercialize any product candidates for which we obtain approval;</w:t>
      </w:r>
    </w:p>
    <w:p>
      <w:pPr>
        <w:spacing w:after="0" w:line="176"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future agreements with third parties in connection with the commercialization of our product candidates;</w:t>
      </w:r>
    </w:p>
    <w:p>
      <w:pPr>
        <w:spacing w:after="0" w:line="252" w:lineRule="exact"/>
        <w:rPr>
          <w:rFonts w:ascii="Arial" w:cs="Arial" w:eastAsia="Arial" w:hAnsi="Arial"/>
          <w:sz w:val="18"/>
          <w:szCs w:val="18"/>
          <w:color w:val="auto"/>
        </w:rPr>
      </w:pPr>
    </w:p>
    <w:p>
      <w:pPr>
        <w:ind w:left="900" w:right="320" w:hanging="244"/>
        <w:spacing w:after="0" w:line="28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size and growth potential of the markets for our product candidates, if approved for commercial use, and our ability to serve those markets;</w:t>
      </w:r>
    </w:p>
    <w:p>
      <w:pPr>
        <w:spacing w:after="0" w:line="176"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of our product candidates;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existing regulations and regulatory developments in the United States and foreign countries;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potential claims relating to our intellectual property and third-party intellectual property;</w:t>
      </w:r>
    </w:p>
    <w:p>
      <w:pPr>
        <w:sectPr>
          <w:pgSz w:w="11900" w:h="16838" w:orient="portrait"/>
          <w:cols w:equalWidth="0" w:num="1">
            <w:col w:w="11320"/>
          </w:cols>
          <w:pgMar w:left="24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contract with third-party suppliers and manufacturers and their ability to perform adequately;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potential plans and ability to develop our own manufacturing facilities;</w:t>
      </w:r>
    </w:p>
    <w:p>
      <w:pPr>
        <w:spacing w:after="0" w:line="252" w:lineRule="exact"/>
        <w:rPr>
          <w:rFonts w:ascii="Arial" w:cs="Arial" w:eastAsia="Arial" w:hAnsi="Arial"/>
          <w:sz w:val="18"/>
          <w:szCs w:val="18"/>
          <w:i w:val="1"/>
          <w:iCs w:val="1"/>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pricing and reimbursement of our product candidates, if approved and commercialized;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success of competing products or platform technologies that are or may become available;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managerial, scientific and medical personnel;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accuracy of our estimates regarding expenses, future revenue, capital requirements and needs for additional financing;</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operational, financial and information management systems;</w:t>
      </w:r>
    </w:p>
    <w:p>
      <w:pPr>
        <w:spacing w:after="0" w:line="252" w:lineRule="exact"/>
        <w:rPr>
          <w:rFonts w:ascii="Arial" w:cs="Arial" w:eastAsia="Arial" w:hAnsi="Arial"/>
          <w:sz w:val="18"/>
          <w:szCs w:val="18"/>
          <w:i w:val="1"/>
          <w:iCs w:val="1"/>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financial performance;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period during which we qualify as an emerging growth company under the JOBS Act.</w:t>
      </w:r>
    </w:p>
    <w:p>
      <w:pPr>
        <w:spacing w:after="0" w:line="25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i w:val="1"/>
          <w:iCs w:val="1"/>
          <w:color w:val="auto"/>
        </w:rPr>
        <w:t>These forward-looking statements are subject to a number of risks, uncertainties, and assumptions, including those described in “Risk Factors”. 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forward-looking statements reflect our beliefs and views with respect to future events and are based on estimates and assumptions as of the date of this Quarterly Report on Form 10-Q and are subject to risks and uncertainties. We discuss many of these risks in greater detail in the section entitled “Risk Factors” included in Part II, Item 1A and elsewhere in this report. Moreover, we operate in a very competitive and rapidly changing environment.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Quarterly Report on Form 10-Q by these cautionary statements.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goal is to discover and develop therapeutics to defeat degeneration.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strategy is guided by three overarching principles:</w:t>
      </w:r>
    </w:p>
    <w:p>
      <w:pPr>
        <w:spacing w:after="0" w:line="223" w:lineRule="exact"/>
        <w:rPr>
          <w:sz w:val="20"/>
          <w:szCs w:val="20"/>
          <w:color w:val="auto"/>
        </w:rPr>
      </w:pPr>
    </w:p>
    <w:p>
      <w:pPr>
        <w:ind w:left="900" w:right="40" w:hanging="244"/>
        <w:spacing w:after="0" w:line="294" w:lineRule="auto"/>
        <w:tabs>
          <w:tab w:leader="none" w:pos="89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Genetic Pathway Potential</w:t>
      </w:r>
      <w:r>
        <w:rPr>
          <w:rFonts w:ascii="Arial" w:cs="Arial" w:eastAsia="Arial" w:hAnsi="Arial"/>
          <w:sz w:val="18"/>
          <w:szCs w:val="18"/>
          <w:color w:val="auto"/>
        </w:rPr>
        <w:t>: We select our therapeutic targets and disease pathways based on genes that, when mutated, cause,</w:t>
      </w:r>
      <w:r>
        <w:rPr>
          <w:rFonts w:ascii="Arial" w:cs="Arial" w:eastAsia="Arial" w:hAnsi="Arial"/>
          <w:sz w:val="18"/>
          <w:szCs w:val="18"/>
          <w:b w:val="1"/>
          <w:bCs w:val="1"/>
          <w:color w:val="auto"/>
        </w:rPr>
        <w:t xml:space="preserve"> </w:t>
      </w:r>
      <w:r>
        <w:rPr>
          <w:rFonts w:ascii="Arial" w:cs="Arial" w:eastAsia="Arial" w:hAnsi="Arial"/>
          <w:sz w:val="18"/>
          <w:szCs w:val="18"/>
          <w:color w:val="auto"/>
        </w:rPr>
        <w:t>or are major risk factors for, neurodegenerative diseases. We refer to these genes as degenogenes;</w:t>
      </w:r>
    </w:p>
    <w:p>
      <w:pPr>
        <w:spacing w:after="0" w:line="168" w:lineRule="exact"/>
        <w:rPr>
          <w:rFonts w:ascii="Arial" w:cs="Arial" w:eastAsia="Arial" w:hAnsi="Arial"/>
          <w:sz w:val="18"/>
          <w:szCs w:val="18"/>
          <w:b w:val="1"/>
          <w:bCs w:val="1"/>
          <w:color w:val="auto"/>
        </w:rPr>
      </w:pPr>
    </w:p>
    <w:p>
      <w:pPr>
        <w:ind w:left="900" w:hanging="244"/>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Engineering Brain Delivery</w:t>
      </w:r>
      <w:r>
        <w:rPr>
          <w:rFonts w:ascii="Arial" w:cs="Arial" w:eastAsia="Arial" w:hAnsi="Arial"/>
          <w:sz w:val="18"/>
          <w:szCs w:val="18"/>
          <w:color w:val="auto"/>
        </w:rPr>
        <w:t>: We engineer our product candidates to cross the BBB and act directly in the brain; and</w:t>
      </w:r>
    </w:p>
    <w:p>
      <w:pPr>
        <w:spacing w:after="0" w:line="252" w:lineRule="exact"/>
        <w:rPr>
          <w:rFonts w:ascii="Arial" w:cs="Arial" w:eastAsia="Arial" w:hAnsi="Arial"/>
          <w:sz w:val="18"/>
          <w:szCs w:val="18"/>
          <w:b w:val="1"/>
          <w:bCs w:val="1"/>
          <w:color w:val="auto"/>
        </w:rPr>
      </w:pPr>
    </w:p>
    <w:p>
      <w:pPr>
        <w:ind w:left="900" w:right="860" w:hanging="244"/>
        <w:spacing w:after="0" w:line="326" w:lineRule="auto"/>
        <w:tabs>
          <w:tab w:leader="none" w:pos="89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Biomarker-Driven Development</w:t>
      </w:r>
      <w:r>
        <w:rPr>
          <w:rFonts w:ascii="Arial" w:cs="Arial" w:eastAsia="Arial" w:hAnsi="Arial"/>
          <w:sz w:val="17"/>
          <w:szCs w:val="17"/>
          <w:color w:val="auto"/>
        </w:rPr>
        <w:t>: We discover, develop and utilize biomarkers to select the right patient population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 target engagement, pathway engagement and impact on disease progression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20" w:firstLine="486"/>
        <w:spacing w:after="0" w:line="292" w:lineRule="auto"/>
        <w:rPr>
          <w:sz w:val="20"/>
          <w:szCs w:val="20"/>
          <w:color w:val="auto"/>
        </w:rPr>
      </w:pPr>
      <w:r>
        <w:rPr>
          <w:rFonts w:ascii="Arial" w:cs="Arial" w:eastAsia="Arial" w:hAnsi="Arial"/>
          <w:sz w:val="18"/>
          <w:szCs w:val="18"/>
          <w:color w:val="auto"/>
        </w:rPr>
        <w:t>We are developing a broad portfolio of targeted therapeutic candidates for neurodegenerative diseases. Our programs are at different stages of clinical and preclinical development, including three programs in clinical studies.</w:t>
      </w:r>
    </w:p>
    <w:p>
      <w:pPr>
        <w:spacing w:after="0" w:line="172"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Our three clinical programs are our leucine-rich repeat kinase 2 ("LRRK2") inhibitor program to address Parkinson’s disease, our receptor interacting serine/threonine protein kinase 1 ("RIPK1") inhibitor program, partnered with Sanofi, to address neurodegenerative Alzheimer’s disease and amyotrophic lateral sclerosis ("ALS"), and a second RIPK1 inhibitor that our partner Sanofi is developing to address peripheral diseases such as rheumatoid arthritis. The two most advanced product candidates in our LRRK2 program, DNL201 and DNL151, are potent, selective and brain-penetrant small molecule LRRK2 inhibitor product candidates for Parkinson’s disease. The most advanced product candidate in our RIPK1 inhibitor program, DNL747, is a potent, selective and brain-penetrant small molecule RIPK1 inhibitor product candidate for various neurological diseases, including Alzheimer’s disease and ALS. The following table summarizes key information about our clinical stage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 Candidate(s)</w:t>
            </w: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Clinical Phase</w:t>
            </w:r>
          </w:p>
        </w:tc>
        <w:tc>
          <w:tcPr>
            <w:tcW w:w="100" w:type="dxa"/>
            <w:vAlign w:val="bottom"/>
            <w:tcBorders>
              <w:bottom w:val="single" w:sz="8" w:color="CCEEFF"/>
            </w:tcBorders>
          </w:tcPr>
          <w:p>
            <w:pPr>
              <w:spacing w:after="0"/>
              <w:rPr>
                <w:sz w:val="17"/>
                <w:szCs w:val="17"/>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Indication(s)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Operational Control</w:t>
            </w:r>
          </w:p>
        </w:tc>
        <w:tc>
          <w:tcPr>
            <w:tcW w:w="0" w:type="dxa"/>
            <w:vAlign w:val="bottom"/>
          </w:tcPr>
          <w:p>
            <w:pPr>
              <w:spacing w:after="0"/>
              <w:rPr>
                <w:sz w:val="1"/>
                <w:szCs w:val="1"/>
                <w:color w:val="auto"/>
              </w:rPr>
            </w:pPr>
          </w:p>
        </w:tc>
      </w:tr>
      <w:tr>
        <w:trPr>
          <w:trHeight w:val="203"/>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LRRK2</w:t>
            </w: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DNL201</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Ph 1b</w:t>
            </w:r>
          </w:p>
        </w:tc>
        <w:tc>
          <w:tcPr>
            <w:tcW w:w="3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Parkinson's disease</w:t>
            </w:r>
          </w:p>
        </w:tc>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Denali</w:t>
            </w:r>
          </w:p>
        </w:tc>
        <w:tc>
          <w:tcPr>
            <w:tcW w:w="0" w:type="dxa"/>
            <w:vAlign w:val="bottom"/>
          </w:tcPr>
          <w:p>
            <w:pPr>
              <w:spacing w:after="0"/>
              <w:rPr>
                <w:sz w:val="1"/>
                <w:szCs w:val="1"/>
                <w:color w:val="auto"/>
              </w:rPr>
            </w:pPr>
          </w:p>
        </w:tc>
      </w:tr>
      <w:tr>
        <w:trPr>
          <w:trHeight w:val="108"/>
        </w:trPr>
        <w:tc>
          <w:tcPr>
            <w:tcW w:w="2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DNL151</w:t>
            </w:r>
          </w:p>
        </w:tc>
        <w:tc>
          <w:tcPr>
            <w:tcW w:w="2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Ph 1 and Ph 1b</w:t>
            </w:r>
          </w:p>
        </w:tc>
        <w:tc>
          <w:tcPr>
            <w:tcW w:w="3420" w:type="dxa"/>
            <w:vAlign w:val="bottom"/>
            <w:gridSpan w:val="2"/>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80" w:type="dxa"/>
            <w:vAlign w:val="bottom"/>
            <w:gridSpan w:val="2"/>
            <w:vMerge w:val="continue"/>
            <w:shd w:val="clear" w:color="auto" w:fill="CCEEFF"/>
          </w:tcPr>
          <w:p>
            <w:pPr>
              <w:spacing w:after="0"/>
              <w:rPr>
                <w:sz w:val="10"/>
                <w:szCs w:val="10"/>
                <w:color w:val="auto"/>
              </w:rPr>
            </w:pPr>
          </w:p>
        </w:tc>
        <w:tc>
          <w:tcPr>
            <w:tcW w:w="2180" w:type="dxa"/>
            <w:vAlign w:val="bottom"/>
            <w:gridSpan w:val="2"/>
            <w:vMerge w:val="continue"/>
            <w:shd w:val="clear" w:color="auto" w:fill="CCEEFF"/>
          </w:tcPr>
          <w:p>
            <w:pPr>
              <w:spacing w:after="0"/>
              <w:rPr>
                <w:sz w:val="10"/>
                <w:szCs w:val="10"/>
                <w:color w:val="auto"/>
              </w:rPr>
            </w:pPr>
          </w:p>
        </w:tc>
        <w:tc>
          <w:tcPr>
            <w:tcW w:w="3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RIPK1 (CNS)</w:t>
            </w:r>
          </w:p>
        </w:tc>
        <w:tc>
          <w:tcPr>
            <w:tcW w:w="100" w:type="dxa"/>
            <w:vAlign w:val="bottom"/>
          </w:tcPr>
          <w:p>
            <w:pPr>
              <w:spacing w:after="0"/>
              <w:rPr>
                <w:sz w:val="18"/>
                <w:szCs w:val="18"/>
                <w:color w:val="auto"/>
              </w:rPr>
            </w:pPr>
          </w:p>
        </w:tc>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DNL747</w:t>
            </w:r>
          </w:p>
        </w:tc>
        <w:tc>
          <w:tcPr>
            <w:tcW w:w="2180" w:type="dxa"/>
            <w:vAlign w:val="bottom"/>
            <w:gridSpan w:val="2"/>
          </w:tcPr>
          <w:p>
            <w:pPr>
              <w:ind w:left="20"/>
              <w:spacing w:after="0"/>
              <w:rPr>
                <w:sz w:val="20"/>
                <w:szCs w:val="20"/>
                <w:color w:val="auto"/>
              </w:rPr>
            </w:pPr>
            <w:r>
              <w:rPr>
                <w:rFonts w:ascii="Arial" w:cs="Arial" w:eastAsia="Arial" w:hAnsi="Arial"/>
                <w:sz w:val="14"/>
                <w:szCs w:val="14"/>
                <w:color w:val="auto"/>
              </w:rPr>
              <w:t>Ph 1b</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Alzheimer's disease</w:t>
            </w:r>
          </w:p>
        </w:tc>
        <w:tc>
          <w:tcPr>
            <w:tcW w:w="1580" w:type="dxa"/>
            <w:vAlign w:val="bottom"/>
          </w:tcPr>
          <w:p>
            <w:pPr>
              <w:ind w:left="20"/>
              <w:spacing w:after="0"/>
              <w:rPr>
                <w:sz w:val="20"/>
                <w:szCs w:val="20"/>
                <w:color w:val="auto"/>
              </w:rPr>
            </w:pPr>
            <w:r>
              <w:rPr>
                <w:rFonts w:ascii="Arial" w:cs="Arial" w:eastAsia="Arial" w:hAnsi="Arial"/>
                <w:sz w:val="14"/>
                <w:szCs w:val="14"/>
                <w:color w:val="auto"/>
              </w:rPr>
              <w:t>Denali</w:t>
            </w: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4"/>
                <w:szCs w:val="14"/>
                <w:color w:val="auto"/>
              </w:rPr>
              <w:t>Ph 1b</w:t>
            </w:r>
          </w:p>
        </w:tc>
        <w:tc>
          <w:tcPr>
            <w:tcW w:w="3420" w:type="dxa"/>
            <w:vAlign w:val="bottom"/>
            <w:gridSpan w:val="2"/>
            <w:vMerge w:val="restart"/>
          </w:tcPr>
          <w:p>
            <w:pPr>
              <w:ind w:left="20"/>
              <w:spacing w:after="0"/>
              <w:rPr>
                <w:sz w:val="20"/>
                <w:szCs w:val="20"/>
                <w:color w:val="auto"/>
              </w:rPr>
            </w:pPr>
            <w:r>
              <w:rPr>
                <w:rFonts w:ascii="Arial" w:cs="Arial" w:eastAsia="Arial" w:hAnsi="Arial"/>
                <w:sz w:val="14"/>
                <w:szCs w:val="14"/>
                <w:color w:val="auto"/>
              </w:rPr>
              <w:t>ALS</w:t>
            </w:r>
          </w:p>
        </w:tc>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Sanofi</w:t>
            </w:r>
          </w:p>
        </w:tc>
        <w:tc>
          <w:tcPr>
            <w:tcW w:w="0" w:type="dxa"/>
            <w:vAlign w:val="bottom"/>
          </w:tcPr>
          <w:p>
            <w:pPr>
              <w:spacing w:after="0"/>
              <w:rPr>
                <w:sz w:val="1"/>
                <w:szCs w:val="1"/>
                <w:color w:val="auto"/>
              </w:rPr>
            </w:pPr>
          </w:p>
        </w:tc>
      </w:tr>
      <w:tr>
        <w:trPr>
          <w:trHeight w:val="112"/>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RIPK1 (Peripheral)</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DNL758</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Ph 1</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Systemic inflammatory diseases</w:t>
            </w:r>
          </w:p>
        </w:tc>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Sanofi</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80" w:firstLine="486"/>
        <w:spacing w:after="0" w:line="243" w:lineRule="auto"/>
        <w:rPr>
          <w:sz w:val="20"/>
          <w:szCs w:val="20"/>
          <w:color w:val="auto"/>
        </w:rPr>
      </w:pPr>
      <w:r>
        <w:rPr>
          <w:rFonts w:ascii="Arial" w:cs="Arial" w:eastAsia="Arial" w:hAnsi="Arial"/>
          <w:sz w:val="18"/>
          <w:szCs w:val="18"/>
          <w:color w:val="auto"/>
        </w:rPr>
        <w:t>We have also developed a proprietary BBB platform technology, our transport vehicle ("TV"), which is designed to effectively transport antibodies (antibody transport vehicle ("ATV")) and enzymes (enzyme transport vehicle ("ETV")) across the BBB. This technology is designed to engage the transferrin receptor, which is ubiquitously expressed in brain capillaries and facilitates transport of transferrin into the brain. We are currently optimizing and broadening this platform technology. We plan to have multiple product candidates that utilize our ATV or ETV platforms enter clinical development in 2020 and 2021, including an enzyme replacement for iduronate 2-sulfatase (“ETV:IDS") which we expect to enter clinical development in the first half of 2020.</w:t>
      </w:r>
    </w:p>
    <w:p>
      <w:pPr>
        <w:spacing w:after="0" w:line="201" w:lineRule="exact"/>
        <w:rPr>
          <w:sz w:val="20"/>
          <w:szCs w:val="20"/>
          <w:color w:val="auto"/>
        </w:rPr>
      </w:pPr>
    </w:p>
    <w:p>
      <w:pPr>
        <w:ind w:right="260" w:firstLine="486"/>
        <w:spacing w:after="0" w:line="260" w:lineRule="auto"/>
        <w:rPr>
          <w:sz w:val="20"/>
          <w:szCs w:val="20"/>
          <w:color w:val="auto"/>
        </w:rPr>
      </w:pPr>
      <w:r>
        <w:rPr>
          <w:rFonts w:ascii="Arial" w:cs="Arial" w:eastAsia="Arial" w:hAnsi="Arial"/>
          <w:sz w:val="18"/>
          <w:szCs w:val="18"/>
          <w:color w:val="auto"/>
        </w:rPr>
        <w:t>To complement our internal capabilities, we have entered into arrangements with biopharmaceutical companies, patient-focused data companies, numerous leading academic institutions and foundations to gain access to new product candidates, enable and accelerate the development of our existing programs and deepen our scientific understanding of certain areas of biology. We rely on third-party contract manufacturers to manufacture and supply our preclinical and clinical materials to be used during the development of our product candidates. We currently do not need commercial manufacturing capacity.</w:t>
      </w:r>
    </w:p>
    <w:p>
      <w:pPr>
        <w:spacing w:after="0" w:line="202"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Since we commenced operations, we have devoted substantially all of our resources to discovering, acquiring and developing product candidates, building our BBB platform technology and assembling our core capabilities in understanding neurodegenerative disease pathways.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operational and financing milestones in 2019 to date include:</w:t>
      </w:r>
    </w:p>
    <w:p>
      <w:pPr>
        <w:spacing w:after="0" w:line="252" w:lineRule="exact"/>
        <w:rPr>
          <w:sz w:val="20"/>
          <w:szCs w:val="20"/>
          <w:color w:val="auto"/>
        </w:rPr>
      </w:pPr>
    </w:p>
    <w:p>
      <w:pPr>
        <w:ind w:left="900" w:right="480" w:hanging="244"/>
        <w:spacing w:after="0" w:line="292"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2019, we received a payment of $5.0 million related to a preclinical milestone earned in December 2018 under the Takeda Collaboration Agreement;</w:t>
      </w:r>
    </w:p>
    <w:p>
      <w:pPr>
        <w:spacing w:after="0" w:line="171" w:lineRule="exact"/>
        <w:rPr>
          <w:rFonts w:ascii="Arial" w:cs="Arial" w:eastAsia="Arial" w:hAnsi="Arial"/>
          <w:sz w:val="18"/>
          <w:szCs w:val="18"/>
          <w:color w:val="auto"/>
        </w:rPr>
      </w:pPr>
    </w:p>
    <w:p>
      <w:pPr>
        <w:jc w:val="both"/>
        <w:ind w:left="900" w:right="80" w:hanging="244"/>
        <w:spacing w:after="0" w:line="271"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2019, we announced, in collaboration with our partner Sanofi, the first patient dosed in our Phase 1b study of DNL747 in ALS patients, and in February 2019, we announced the first patient dosed in our Phase 1b study of DNL747 in Alzheimer's disease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00" w:right="60" w:hanging="244"/>
        <w:spacing w:after="0" w:line="264"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2019, DNL310 (ETV:IDS), which we are developing to treat mucopolysaccharidosis type II ("MPS II") or Hunter Syndrome patients, was granted orphan drug designation and rare pediatric disease designation by the FDA. DNL310 utilizes our proprietary ETV platform designed to bring IDS across the BBB and into the brain. We plan to commence a Phase 1/2 clinical study of DNL310 in Hunter Syndrome patients in mid-2020;</w:t>
      </w:r>
    </w:p>
    <w:p>
      <w:pPr>
        <w:spacing w:after="0" w:line="196"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2019, we completed our move to our new headquarters location;</w:t>
      </w:r>
    </w:p>
    <w:p>
      <w:pPr>
        <w:spacing w:after="0" w:line="252" w:lineRule="exact"/>
        <w:rPr>
          <w:rFonts w:ascii="Arial" w:cs="Arial" w:eastAsia="Arial" w:hAnsi="Arial"/>
          <w:sz w:val="18"/>
          <w:szCs w:val="18"/>
          <w:color w:val="auto"/>
        </w:rPr>
      </w:pPr>
    </w:p>
    <w:p>
      <w:pPr>
        <w:ind w:left="900" w:right="40" w:hanging="244"/>
        <w:spacing w:after="0" w:line="264"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2019, we presented the progress of DNL343, a therapeutic candidate designed to inhibit the formation of stress granules by activating EIF2B. Stress granule formation is present in many neurodegenerative diseases, including ALS and Frontotemporal Dementia ("FTD"). We plan to commence dosing in a Phase 1 clinical study in healthy volunteers for this program in the first half of 2020;</w:t>
      </w:r>
    </w:p>
    <w:p>
      <w:pPr>
        <w:spacing w:after="0" w:line="196" w:lineRule="exact"/>
        <w:rPr>
          <w:rFonts w:ascii="Arial" w:cs="Arial" w:eastAsia="Arial" w:hAnsi="Arial"/>
          <w:sz w:val="18"/>
          <w:szCs w:val="18"/>
          <w:color w:val="auto"/>
        </w:rPr>
      </w:pPr>
    </w:p>
    <w:p>
      <w:pPr>
        <w:ind w:left="900" w:right="120" w:hanging="244"/>
        <w:spacing w:after="0" w:line="292"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2019, our partner Sanofi commenced dosing of our partnered small molecule RIPK1 inhibitor, DNL758, in a Phase 1 clinical study in healthy volunteers. This triggered a milestone payment of $10.0 million, which was received in August 2019;</w:t>
      </w:r>
    </w:p>
    <w:p>
      <w:pPr>
        <w:spacing w:after="0" w:line="171" w:lineRule="exact"/>
        <w:rPr>
          <w:rFonts w:ascii="Arial" w:cs="Arial" w:eastAsia="Arial" w:hAnsi="Arial"/>
          <w:sz w:val="18"/>
          <w:szCs w:val="18"/>
          <w:color w:val="auto"/>
        </w:rPr>
      </w:pPr>
    </w:p>
    <w:p>
      <w:pPr>
        <w:ind w:left="900" w:right="300" w:hanging="244"/>
        <w:spacing w:after="0" w:line="292"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2019, we announced the first patient dosed in our Phase 1b study of DNL151 in patients with Parkinson's disease, and the launch of our Engage Parkinson's website;</w:t>
      </w:r>
    </w:p>
    <w:p>
      <w:pPr>
        <w:spacing w:after="0" w:line="171" w:lineRule="exact"/>
        <w:rPr>
          <w:rFonts w:ascii="Arial" w:cs="Arial" w:eastAsia="Arial" w:hAnsi="Arial"/>
          <w:sz w:val="18"/>
          <w:szCs w:val="18"/>
          <w:color w:val="auto"/>
        </w:rPr>
      </w:pPr>
    </w:p>
    <w:p>
      <w:pPr>
        <w:ind w:left="900" w:right="200" w:hanging="244"/>
        <w:spacing w:after="0" w:line="271" w:lineRule="auto"/>
        <w:tabs>
          <w:tab w:leader="none" w:pos="89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October 2019, we enrolled the first patient in a biomarker study for our ETV:IDS program in Hunter Syndrome. This non-interventional study is expected to yield critical biomarker and clinical data in patients to inform future clinical studies with DNL310 (ETV:IDS) and facilitate patient recruitment into these studies; and</w:t>
      </w:r>
    </w:p>
    <w:p>
      <w:pPr>
        <w:spacing w:after="0" w:line="190" w:lineRule="exact"/>
        <w:rPr>
          <w:rFonts w:ascii="Arial" w:cs="Arial" w:eastAsia="Arial" w:hAnsi="Arial"/>
          <w:sz w:val="18"/>
          <w:szCs w:val="18"/>
          <w:b w:val="1"/>
          <w:bCs w:val="1"/>
          <w:color w:val="auto"/>
        </w:rPr>
      </w:pPr>
    </w:p>
    <w:p>
      <w:pPr>
        <w:ind w:left="900" w:right="200" w:hanging="244"/>
        <w:spacing w:after="0" w:line="264"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2019, we announced progress of our DNL747 Phase 1b trials in Alzheimer's disease and ALS, commencement of enrollment of an ALS open label extension in the Netherlands and expansion of sites for the Phase 1b ALS study into the United States. We intend, together with our partner Sanofi, to evaluate the full data set from the ongoing clinical and preclinical studies to inform decisions on further clinical testing for our RIPK1 program. The timing of such decisions is delayed to mid-2020.</w:t>
      </w:r>
    </w:p>
    <w:p>
      <w:pPr>
        <w:spacing w:after="0" w:line="197"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do not have any products approved for sale and have not generated any product revenue since our inception. We have funded our operations primarily from the issuance and sale of convertible preferred stock, and the proceeds from our initial public offering ("IPO") and payments received from our collaboration agreements with Takeda and Sanofi.</w:t>
      </w:r>
    </w:p>
    <w:p>
      <w:pPr>
        <w:spacing w:after="0" w:line="19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have incurred significant operating losses to date and expect to continue to incur operating losses for the foreseeable future. Our ability to generate product revenue will depend on the successful development and eventual commercialization of one or more of our product candidates. Our net losses were $46.3 million and $143.6 million for the three and nine months ended September 30, 2019 respectively, and $35.4 million and $113.8 million for the three and nine months ended September 30, 2018, respectively. As of September 30, 2019, we had an accumulated deficit of $371.5 million. We expect to continue to incur significant expenses and operating losses as we advance our LRRK2 and RIPK1 programs through patient trials; initiate first-in-human trials for our ETV:IDS and EIF2B programs, broaden and improve our BBB platform technology; acquire, discover, validate and develop additional product candidates; obtain, maintain, protect and enforce our intellectual property portfolio; and hire additional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52" w:lineRule="exact"/>
        <w:rPr>
          <w:sz w:val="20"/>
          <w:szCs w:val="20"/>
          <w:color w:val="auto"/>
        </w:rPr>
      </w:pPr>
    </w:p>
    <w:p>
      <w:pPr>
        <w:ind w:right="40" w:firstLine="486"/>
        <w:spacing w:after="0" w:line="323"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foreseeable future. All revenue recognized to date has been collaboration revenue from our collaboration agreements with Takeda and Sanofi.</w:t>
      </w:r>
    </w:p>
    <w:p>
      <w:pPr>
        <w:spacing w:after="0" w:line="14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In the future, we will continue to recognize revenue from the Takeda Collaboration Agreement and Sanofi Collaboration Agreement and may generate revenue from product sales or milestones, royalties and cost reimbursement from other collaboration agreements, strategic alliances and licensing arrangements. We expect that our revenue will fluctuate from quarter-to-quarter and year-to-year as a result of the timing and amount of license fees, milestones, reimbursement of costs incurred and other payments and product sales, to the extent any are successfully commercialized. If we fail to complete the development of our product candidates in a timely manner or obtain regulatory approval for them, our ability to generate future revenue, and our results of operations and financial position, would be materially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0" w:lineRule="exact"/>
        <w:rPr>
          <w:sz w:val="20"/>
          <w:szCs w:val="20"/>
          <w:color w:val="auto"/>
        </w:rPr>
      </w:pPr>
    </w:p>
    <w:p>
      <w:pPr>
        <w:jc w:val="both"/>
        <w:ind w:right="80" w:firstLine="486"/>
        <w:spacing w:after="0" w:line="271"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record research and development expenses as incurred. Research and development expenses incurred by us for the discovery and development of our product candidates and BBB platform technology include:</w:t>
      </w:r>
    </w:p>
    <w:p>
      <w:pPr>
        <w:spacing w:after="0" w:line="163" w:lineRule="exact"/>
        <w:rPr>
          <w:sz w:val="20"/>
          <w:szCs w:val="20"/>
          <w:color w:val="auto"/>
        </w:rPr>
      </w:pPr>
    </w:p>
    <w:p>
      <w:pPr>
        <w:ind w:left="480" w:hanging="22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research and development expenses, including:</w:t>
      </w:r>
    </w:p>
    <w:p>
      <w:pPr>
        <w:spacing w:after="0" w:line="252" w:lineRule="exact"/>
        <w:rPr>
          <w:rFonts w:ascii="Arial" w:cs="Arial" w:eastAsia="Arial" w:hAnsi="Arial"/>
          <w:sz w:val="18"/>
          <w:szCs w:val="18"/>
          <w:color w:val="auto"/>
        </w:rPr>
      </w:pPr>
    </w:p>
    <w:p>
      <w:pPr>
        <w:ind w:left="900" w:right="400" w:hanging="243"/>
        <w:spacing w:after="0" w:line="292" w:lineRule="auto"/>
        <w:rPr>
          <w:rFonts w:ascii="Arial" w:cs="Arial" w:eastAsia="Arial" w:hAnsi="Arial"/>
          <w:sz w:val="18"/>
          <w:szCs w:val="18"/>
          <w:color w:val="auto"/>
        </w:rPr>
      </w:pPr>
      <w:r>
        <w:rPr>
          <w:rFonts w:ascii="Arial" w:cs="Arial" w:eastAsia="Arial" w:hAnsi="Arial"/>
          <w:sz w:val="18"/>
          <w:szCs w:val="18"/>
          <w:color w:val="auto"/>
        </w:rPr>
        <w:t>– expenses incurred under arrangements with third parties, such as contract research organizations ("CROs"), preclinical testing organizations, contract manufacturing organizations ("CMOs"), academic and non-profit institutions and consultants;</w:t>
      </w:r>
    </w:p>
    <w:p>
      <w:pPr>
        <w:spacing w:after="0" w:line="171" w:lineRule="exact"/>
        <w:rPr>
          <w:rFonts w:ascii="Arial" w:cs="Arial" w:eastAsia="Arial" w:hAnsi="Arial"/>
          <w:sz w:val="18"/>
          <w:szCs w:val="18"/>
          <w:color w:val="auto"/>
        </w:rPr>
      </w:pPr>
    </w:p>
    <w:p>
      <w:pPr>
        <w:ind w:left="900" w:right="40" w:hanging="243"/>
        <w:spacing w:after="0" w:line="292" w:lineRule="auto"/>
        <w:rPr>
          <w:rFonts w:ascii="Arial" w:cs="Arial" w:eastAsia="Arial" w:hAnsi="Arial"/>
          <w:sz w:val="18"/>
          <w:szCs w:val="18"/>
          <w:color w:val="auto"/>
        </w:rPr>
      </w:pPr>
      <w:r>
        <w:rPr>
          <w:rFonts w:ascii="Arial" w:cs="Arial" w:eastAsia="Arial" w:hAnsi="Arial"/>
          <w:sz w:val="18"/>
          <w:szCs w:val="18"/>
          <w:color w:val="auto"/>
        </w:rPr>
        <w:t>– expenses to acquire technologies to be used in research and development that have not reached technological feasibility and have no alternative future use;</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fees related to our license and collaboration agreements;</w:t>
      </w:r>
    </w:p>
    <w:p>
      <w:pPr>
        <w:spacing w:after="0" w:line="238" w:lineRule="exact"/>
        <w:rPr>
          <w:rFonts w:ascii="Arial" w:cs="Arial" w:eastAsia="Arial" w:hAnsi="Arial"/>
          <w:sz w:val="18"/>
          <w:szCs w:val="18"/>
          <w:color w:val="auto"/>
        </w:rPr>
      </w:pPr>
    </w:p>
    <w:p>
      <w:pPr>
        <w:ind w:left="480" w:hanging="22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 related expenses, including salaries, benefits and stock-based compensation expense; and</w:t>
      </w:r>
    </w:p>
    <w:p>
      <w:pPr>
        <w:spacing w:after="0" w:line="252" w:lineRule="exact"/>
        <w:rPr>
          <w:rFonts w:ascii="Arial" w:cs="Arial" w:eastAsia="Arial" w:hAnsi="Arial"/>
          <w:sz w:val="18"/>
          <w:szCs w:val="18"/>
          <w:color w:val="auto"/>
        </w:rPr>
      </w:pPr>
    </w:p>
    <w:p>
      <w:pPr>
        <w:ind w:left="480" w:hanging="22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expenses, which include direct and allocated expenses for laboratory, facilities and other costs.</w:t>
      </w:r>
    </w:p>
    <w:p>
      <w:pPr>
        <w:spacing w:after="0" w:line="252"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A portion of our research and development expenses are direct external expenses, which we track on a program-specific basis once a program has commenced late-stage IND-enabling studies.</w:t>
      </w:r>
    </w:p>
    <w:p>
      <w:pPr>
        <w:spacing w:after="0" w:line="14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Program expenses include expenses associated with our most advanced product candidates and the discovery and development of backup or next-generation molecules. We also track external expenses associated with our BBB platform technology. These expenses include those incurred by us relating to our Takeda Collaboration Agreement and Sanofi Collaboration Agreement. All external costs associated with earlier stage programs, or that benefit the entire portfolio, are tracked as a group. We do not track personnel or other operating expenses incurred for our research and development programs on a program-specific basis. These expenses primarily relate to salaries and benefits, stock-based compensation, facility expenses including rent and depreciation, and lab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5" w:right="3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70"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 appropriate safety profile with IND-enabling toxicology studies;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252" w:lineRule="exact"/>
        <w:rPr>
          <w:rFonts w:ascii="Arial" w:cs="Arial" w:eastAsia="Arial" w:hAnsi="Arial"/>
          <w:sz w:val="18"/>
          <w:szCs w:val="18"/>
          <w:color w:val="auto"/>
        </w:rPr>
      </w:pPr>
    </w:p>
    <w:p>
      <w:pPr>
        <w:ind w:left="900" w:right="1060" w:hanging="244"/>
        <w:spacing w:after="0" w:line="292"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71"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molecules;</w:t>
      </w:r>
    </w:p>
    <w:p>
      <w:pPr>
        <w:spacing w:after="0" w:line="171" w:lineRule="exact"/>
        <w:rPr>
          <w:rFonts w:ascii="Arial" w:cs="Arial" w:eastAsia="Arial" w:hAnsi="Arial"/>
          <w:sz w:val="18"/>
          <w:szCs w:val="18"/>
          <w:color w:val="auto"/>
        </w:rPr>
      </w:pPr>
    </w:p>
    <w:p>
      <w:pPr>
        <w:ind w:left="900" w:right="1040" w:hanging="244"/>
        <w:spacing w:after="0" w:line="292"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commercial manufacturing, if our product candidates are approved;</w:t>
      </w:r>
    </w:p>
    <w:p>
      <w:pPr>
        <w:spacing w:after="0" w:line="171"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71" w:lineRule="exact"/>
        <w:rPr>
          <w:rFonts w:ascii="Arial" w:cs="Arial" w:eastAsia="Arial" w:hAnsi="Arial"/>
          <w:sz w:val="18"/>
          <w:szCs w:val="18"/>
          <w:color w:val="auto"/>
        </w:rPr>
      </w:pPr>
    </w:p>
    <w:p>
      <w:pPr>
        <w:ind w:left="900" w:right="420" w:hanging="244"/>
        <w:spacing w:after="0" w:line="292"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intellectual property protection and regulatory exclusivity for our product candidates if and when approved;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products, if and when approved, whether alone or in collaboration with others;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acceptable safety profiles of the product candidates following approval.</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We expect our research and development expenses to increase at least over the next several years as we continue to implement our business strategy, advance our current programs, expand our research and development efforts, seek regulatory approvals for any product candidates that successfully complete clinical trials, access and develop additional product candidates and incur expenses associated with hiring additional personnel to support our research and development efforts. In addition, product candidates in later stages of clinical development generally incur higher development costs than those in earlier stages of clinical development, primarily due to the increased size and duration of later-stage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0"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General and administrative expenses include personnel-related expenses, such as salaries, benefits, travel and stock-based compensation expense, expenses for outside professional services and allocated expenses. Outside professional services consist of legal, accounting and audit services and other consulting fees. Allocated expenses consist of rent, depreciation and other expenses related to our office and research and development facility not otherwise included in research and development expenses.</w:t>
      </w:r>
    </w:p>
    <w:p>
      <w:pPr>
        <w:spacing w:after="0" w:line="197"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We expect to continue to incur certain expenses as a result of operating as a public company, including expenses related to compliance with the rules and regulations of the SEC and those of any national securities exchange on which our securities are traded, insurance expenses, investor relations activities and other administrative and professional services. We also expect to increase our administrative headcount as we advance our product candidates through clinical development, which will also increase our general and administrative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50"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Interest and other income, net, consists primarily of interest income and investment income earned on our cash, cash equivalents, and marketable securities, unrealized gains and losses on foreign currency hedges, and sublease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the significant components of our results of operations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6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58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30,321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11,215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63,759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39,159</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(37,964)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net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06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3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__________________________________________________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4"/>
                <w:szCs w:val="14"/>
                <w:color w:val="auto"/>
              </w:rPr>
              <w:t>* Percentage is not meaningful.</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660" w:type="dxa"/>
            <w:vAlign w:val="bottom"/>
            <w:gridSpan w:val="6"/>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7"/>
                <w:szCs w:val="17"/>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141,831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103,274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38,557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35,601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21,304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14,297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67</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177,432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124,578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52,854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(155,426)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(121,094)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(34,332)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net</w:t>
            </w: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06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(143,589)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(113,773)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34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__________________________________________________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5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 Percentage is not meaningful.</w:t>
      </w:r>
    </w:p>
    <w:p>
      <w:pPr>
        <w:sectPr>
          <w:pgSz w:w="11900" w:h="16838" w:orient="portrait"/>
          <w:cols w:equalWidth="0" w:num="1">
            <w:col w:w="11400"/>
          </w:cols>
          <w:pgMar w:left="240" w:top="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firstLine="486"/>
        <w:spacing w:after="0" w:line="276"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Collaboration revenue was $ 13.6 million and $22.0 million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and $1.2 million and $3.5 million for the three and nine months ended September 30, 2018, respectively.</w:t>
      </w:r>
    </w:p>
    <w:p>
      <w:pPr>
        <w:spacing w:after="0" w:line="172" w:lineRule="exact"/>
        <w:rPr>
          <w:sz w:val="20"/>
          <w:szCs w:val="20"/>
          <w:color w:val="auto"/>
        </w:rPr>
      </w:pPr>
    </w:p>
    <w:p>
      <w:pPr>
        <w:ind w:right="60" w:firstLine="486"/>
        <w:spacing w:after="0" w:line="248" w:lineRule="auto"/>
        <w:rPr>
          <w:sz w:val="20"/>
          <w:szCs w:val="20"/>
          <w:color w:val="auto"/>
        </w:rPr>
      </w:pPr>
      <w:r>
        <w:rPr>
          <w:rFonts w:ascii="Arial" w:cs="Arial" w:eastAsia="Arial" w:hAnsi="Arial"/>
          <w:sz w:val="18"/>
          <w:szCs w:val="18"/>
          <w:color w:val="auto"/>
        </w:rPr>
        <w:t>The increase in collaboration revenue for the three months ended September 30, 2019 compared to the three months ended September 30, 2018 was due to $12.5 million of revenue recognized under our Sanofi Collaboration Agreement which included the $10.0 million milestone earned upon Sanofi’s commencement of a DNL758 Phase I clinical trial in healthy volunteers, partially offset by a decrease in revenue recognized under the Takeda Collaboration Agreement of $0.1 million.</w:t>
      </w:r>
    </w:p>
    <w:p>
      <w:pPr>
        <w:spacing w:after="0" w:line="198" w:lineRule="exact"/>
        <w:rPr>
          <w:sz w:val="20"/>
          <w:szCs w:val="20"/>
          <w:color w:val="auto"/>
        </w:rPr>
      </w:pPr>
    </w:p>
    <w:p>
      <w:pPr>
        <w:ind w:right="60" w:firstLine="486"/>
        <w:spacing w:after="0" w:line="248" w:lineRule="auto"/>
        <w:rPr>
          <w:sz w:val="20"/>
          <w:szCs w:val="20"/>
          <w:color w:val="auto"/>
        </w:rPr>
      </w:pPr>
      <w:r>
        <w:rPr>
          <w:rFonts w:ascii="Arial" w:cs="Arial" w:eastAsia="Arial" w:hAnsi="Arial"/>
          <w:sz w:val="18"/>
          <w:szCs w:val="18"/>
          <w:color w:val="auto"/>
        </w:rPr>
        <w:t>The increase in collaboration revenue for the nine months ended September 30, 2019 compared to the nine months ended September 30, 2018 was due to $19.5 million of revenue recognized under our Sanofi Collaboration Agreement which included the $10.0 million milestone earned upon Sanofi’s commencement of a DNL758 Phase I clinical trial in healthy volunteers, partially offset by a decrease in revenue recognized under the Takeda Collaboration Agreement of $1.0 million.</w:t>
      </w:r>
    </w:p>
    <w:p>
      <w:pPr>
        <w:spacing w:after="0" w:line="198"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$52.5 million and $141.8 million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respectively, compared to $30.3 million and $103.3 million for the three and nine months ended September 30, 2018, respectively.</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research and development expenses by program and category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4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LRRK2 program external expenses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8,992</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4"/>
                <w:szCs w:val="14"/>
                <w:color w:val="auto"/>
              </w:rPr>
              <w:t>RIPK1 program external expenses</w:t>
            </w:r>
          </w:p>
        </w:tc>
        <w:tc>
          <w:tcPr>
            <w:tcW w:w="10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3,964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10,777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8,859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ETV program external expenses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3,644</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Arial" w:cs="Arial" w:eastAsia="Arial" w:hAnsi="Arial"/>
                <w:sz w:val="14"/>
                <w:szCs w:val="14"/>
                <w:color w:val="auto"/>
              </w:rPr>
              <w:t>Other BBB program external expenses</w:t>
            </w:r>
          </w:p>
        </w:tc>
        <w:tc>
          <w:tcPr>
            <w:tcW w:w="10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3,320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9,776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3,213</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BBB platform external expenses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29,153</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4"/>
                <w:szCs w:val="14"/>
                <w:color w:val="auto"/>
              </w:rPr>
              <w:t>Other external research and development expenses</w:t>
            </w:r>
          </w:p>
        </w:tc>
        <w:tc>
          <w:tcPr>
            <w:tcW w:w="104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16,437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Personnel-related expenses </w:t>
            </w:r>
            <w:r>
              <w:rPr>
                <w:rFonts w:ascii="Arial" w:cs="Arial" w:eastAsia="Arial" w:hAnsi="Arial"/>
                <w:sz w:val="18"/>
                <w:szCs w:val="18"/>
                <w:color w:val="auto"/>
                <w:vertAlign w:val="superscript"/>
              </w:rPr>
              <w:t>(1)</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45,413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28,220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unallocated research and development expenses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5,859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14,077</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research and development expenses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52,544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30,321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141,831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103,274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__________________________________________________</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40" w:right="340" w:hanging="332"/>
        <w:spacing w:after="0" w:line="230" w:lineRule="auto"/>
        <w:tabs>
          <w:tab w:leader="none" w:pos="33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Personnel-related expenses include stock-based compensation expense of $4.9 million and $14.2 million for the three and nine months ended September 30, 2019, respectively, and $2.9 million and $7.2 million for the three and nine months ended September 30, 2018, respectively, reflecting increases of $2.0 million and $7.0 million, respectively.</w:t>
      </w:r>
    </w:p>
    <w:p>
      <w:pPr>
        <w:spacing w:after="0" w:line="20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There was an increase in total research and development expenses of $22.2 million for the three months ended September 30, 2019 compared to the three months ended September 30, 2018. This reflects increases in external expenses related to our portfolio, including an increase of $6.1 million in LRRK2 program external expenses, an increase of $2.4 million in ETV program external expenses, an increase of $2.1 million in other BBB program external expenses, and an increase of $ 0.1 million in RIPK1 program external expenses. Further, there was a $5.3 million increase in personnel-related expenses, consisting of a $3.3 million increase in salaries and related expenses attributable to an increase in our research and development headcount, and a $2.0 million increase in stock-based compensation expense primarily attributable to new equity award grants. There was also a $3.6 million increase in other external research and development expenses to support our growing pipeline, and an increase in other unallocated research and development expenses of $3.0 million, which was primarily due to an increase in facilities-related expenses of $1.6 million resulting from increased rent expense associated with the new headquarters lease. These increases were partially offset by a $0.4 million decrease in BBB platform associated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There was an increase in total research and development expenses of $38.5 million for the nine months ended September 30, 2019 compared to the nine months ended September 30, 2018. This reflects increases in external expenses related to our portfolio, including an increase of $12.6 million in LRRK2 program external expenses, an increase of $8.5 million in ETV program external expenses, an increase of $6.6 million in other BBB program external expenses, and an increase of $1.9 million in RIPK1 program external expenses. Further, there was a $ 17.1 million increase in personnel-related expenses, consisting of a $10.1 million increase in salaries and related expenses attributable to an increase in our research and development headcount, and a $7.0 million increase in stock-based compensation expense primarily attributable to new equity award grants and certain performance and market-based awards. There was also an increase in other unallocated research and development expenses of $10.4 million, which was primarily due to an increase in facilities-related expenses of $7.6 million resulting from increased rent expense associated with the new headquarters lease, and a $9.3 million increase in other external research and development expenses to support our growing pipeline. These increases were partially offset by a $27.9 million decrease in BBB platform associated expenses, the majority of which related to expenses incurred in the nine months ended September 30, 2018 associated with the nomination of two additional Fcab targets under the F-star Collaboration Agreement, and the acquisition of F-star Gamma Limited in May 2018.</w:t>
      </w:r>
    </w:p>
    <w:p>
      <w:pPr>
        <w:spacing w:after="0" w:line="207"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$11.2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compared to $8.8 million for the three months ended September 30, 2018. The increase of approximately $2.4 million was primarily attributable to a $2.1 million increase in personnel-related expenses, driven by higher headcount and stock-based compensation expense associated with new equity award grants. Additionally, there was a $0.3 million increase in facilities-related expenses, including increased rent expense associated with the new headquarters lease.</w:t>
      </w:r>
    </w:p>
    <w:p>
      <w:pPr>
        <w:spacing w:after="0" w:line="13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General and administrative expenses were $35.6 million for the nine months ended September 30, 2019 compared to $ 21.3 million for the nine months ended September 30, 2018. The increase of approximately $14.3 million was primarily attributable to a $ 11.4 million increase in personnel-related expenses, driven primarily by higher headcount and stock-based compensation expense associated with new equity award grants and certain performance and market-based awards. Additionally, there was a $1.5 million increase in facilities related expenses, including increased rent expense associated with the new headquarters lease, and a $0.6 million increase in legal expenses and other professional services to support our operations, with the remainder of the difference relating to other miscellaneous costs such as insurance and taxes.</w:t>
      </w:r>
    </w:p>
    <w:p>
      <w:pPr>
        <w:spacing w:after="0" w:line="15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was $3.8 million for the three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$2.6 million for the three months ended September 30, 2018. The increase of $1.2 million is primarily due to $0.9 million of sublease income received in the three months ended September 30, 2019, as well as slightly higher interest rates on marketable securities in our portfolio. There was no sublease income for the three months ended September 30, 2018.</w:t>
      </w:r>
    </w:p>
    <w:p>
      <w:pPr>
        <w:spacing w:after="0" w:line="129"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Interest and other income, net was $11.4 million for the nine months ended September 30, 2019 compared to $7.3 million for the nine months ended September 30, 2018. The increase of $4.1 million reflects increased interest rates on marketable securities in our portfolio. Further, we received $1.7 million of sublease income in the nine months ended September 30, 2019 but no sublease income for the nine months ended September 30, 2018.</w:t>
      </w:r>
    </w:p>
    <w:p>
      <w:pPr>
        <w:spacing w:after="0" w:line="129"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Income tax benefit was $0.1 million and $0.4 million for the three and nine months ended September 30, 2019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tax benefit associated with unrealized gain on marketable securities in a gain position in other comprehensive income. There was no income tax benefit for the three and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We have funded our operations primarily from the issuance and sale of convertible preferred stock, proceeds from our IPO and payments received from our collaboration agreements with Takeda and Sanofi. We received $264.3 million from our IPO in December 2017.</w:t>
      </w:r>
    </w:p>
    <w:p>
      <w:pPr>
        <w:spacing w:after="0" w:line="172" w:lineRule="exact"/>
        <w:rPr>
          <w:sz w:val="20"/>
          <w:szCs w:val="20"/>
          <w:color w:val="auto"/>
        </w:rPr>
      </w:pPr>
    </w:p>
    <w:p>
      <w:pPr>
        <w:ind w:right="380" w:firstLine="486"/>
        <w:spacing w:after="0" w:line="271" w:lineRule="auto"/>
        <w:rPr>
          <w:sz w:val="20"/>
          <w:szCs w:val="20"/>
          <w:color w:val="auto"/>
        </w:rPr>
      </w:pPr>
      <w:r>
        <w:rPr>
          <w:rFonts w:ascii="Arial" w:cs="Arial" w:eastAsia="Arial" w:hAnsi="Arial"/>
          <w:sz w:val="18"/>
          <w:szCs w:val="18"/>
          <w:color w:val="auto"/>
        </w:rPr>
        <w:t>Pursuant to the Takeda Collaboration Agreement, we have received $55.0 million related to upfront and milestone payments through September 30, 2019. Further, under the associated Purchase Agreement we received $110.0 million in February 2018 for the sale and issuance of 4,214,559 shares of our common stock.</w:t>
      </w:r>
    </w:p>
    <w:p>
      <w:pPr>
        <w:spacing w:after="0" w:line="190" w:lineRule="exact"/>
        <w:rPr>
          <w:sz w:val="20"/>
          <w:szCs w:val="20"/>
          <w:color w:val="auto"/>
        </w:rPr>
      </w:pPr>
    </w:p>
    <w:p>
      <w:pPr>
        <w:jc w:val="both"/>
        <w:ind w:right="160" w:firstLine="486"/>
        <w:spacing w:after="0" w:line="255" w:lineRule="auto"/>
        <w:rPr>
          <w:sz w:val="20"/>
          <w:szCs w:val="20"/>
          <w:color w:val="auto"/>
        </w:rPr>
      </w:pPr>
      <w:r>
        <w:rPr>
          <w:rFonts w:ascii="Arial" w:cs="Arial" w:eastAsia="Arial" w:hAnsi="Arial"/>
          <w:sz w:val="18"/>
          <w:szCs w:val="18"/>
          <w:color w:val="auto"/>
        </w:rPr>
        <w:t>Pursuant to the Sanofi Collaboration Agreement, we received an upfront payment of $125.0 million in November 2018, and a milestone payment of $10.0 million in August 2019, which was triggered by the commencement of a DNL758 Phase 1 clinical trial in healthy volunteers. We have received further payments of $9.1 million for performance of Retained Activities through September 30, 2019.</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2019, we had cash, cash equivalents and marketable securities in the amount of $502.9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52"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either will occur.</w:t>
      </w:r>
    </w:p>
    <w:p>
      <w:pPr>
        <w:spacing w:after="0" w:line="172"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We expect to continue to incur significant losses for the foreseeable future, and we expect the losses to increase as we expand our research and development activities and continue the development of, and seek regulatory approvals for, our product candidates, and begin to commercialize any approved products. Further, we expect general and administrative expenses to increase as we continue to incur additional costs associated with operating as a public company.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20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Until we can generate a sufficient amount of revenue from the commercialization of our product candidates or from our existing collaboration agreements, or future agreements with other third parties, if ever, we expect to finance our future cash needs through public or private equity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Any of the foregoing could significantly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Since our inception, we have incurred significant losses and negative cash flows from operations. We have an accumulated deficit of $371.5 million through September 30, 2019. We expect to incur substantial additional losses in the future as we conduct and expand our research and development activities. We believe that our existing cash, cash equivalents and marketable securities will be sufficient to enable us to fund our projected operations through at least the next 12 months. We have based this estimate on assumptions that may prove to be wrong, and we could utilize our available capital resources sooner than we currently expect. Our future funding requirements will depend on many factors, including:</w:t>
      </w:r>
    </w:p>
    <w:p>
      <w:pPr>
        <w:spacing w:after="0" w:line="205" w:lineRule="exact"/>
        <w:rPr>
          <w:sz w:val="20"/>
          <w:szCs w:val="20"/>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the development efforts of third parties with whom we have entered into license and collaboration agreements;</w:t>
      </w:r>
    </w:p>
    <w:p>
      <w:pPr>
        <w:spacing w:after="0" w:line="252"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research and development, license or collaboration arrangements;</w:t>
      </w:r>
    </w:p>
    <w:p>
      <w:pPr>
        <w:spacing w:after="0" w:line="171" w:lineRule="exact"/>
        <w:rPr>
          <w:rFonts w:ascii="Arial" w:cs="Arial" w:eastAsia="Arial" w:hAnsi="Arial"/>
          <w:sz w:val="18"/>
          <w:szCs w:val="18"/>
          <w:color w:val="auto"/>
        </w:rPr>
      </w:pPr>
    </w:p>
    <w:p>
      <w:pPr>
        <w:ind w:left="900" w:right="380" w:hanging="244"/>
        <w:spacing w:after="0" w:line="292"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success in securing manufacturing relationships with third parties or, in the future, in establishing and operating a manufacturing facility;</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prosecuting, defending and enforcing patent claims and other intellectual property claims;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approvals;</w:t>
      </w:r>
    </w:p>
    <w:p>
      <w:pPr>
        <w:spacing w:after="0" w:line="252" w:lineRule="exact"/>
        <w:rPr>
          <w:rFonts w:ascii="Arial" w:cs="Arial" w:eastAsia="Arial" w:hAnsi="Arial"/>
          <w:sz w:val="18"/>
          <w:szCs w:val="18"/>
          <w:color w:val="auto"/>
        </w:rPr>
      </w:pPr>
    </w:p>
    <w:p>
      <w:pPr>
        <w:ind w:left="900" w:right="800" w:hanging="244"/>
        <w:spacing w:after="0" w:line="292"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 and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ongoing investments to in-license and/or acquire additional technologies.</w:t>
      </w:r>
    </w:p>
    <w:p>
      <w:pPr>
        <w:spacing w:after="0" w:line="252"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a summary of the primary sources and uses of cash for each of the periods presented below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3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48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(103,933)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(43,069)</w:t>
            </w:r>
          </w:p>
        </w:tc>
      </w:tr>
      <w:tr>
        <w:trPr>
          <w:trHeight w:val="212"/>
        </w:trPr>
        <w:tc>
          <w:tcPr>
            <w:tcW w:w="66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48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105,327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(226,019)</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4,156</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95,329</w:t>
            </w:r>
          </w:p>
        </w:tc>
      </w:tr>
      <w:tr>
        <w:trPr>
          <w:trHeight w:val="214"/>
        </w:trPr>
        <w:tc>
          <w:tcPr>
            <w:tcW w:w="66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(173,759)</w:t>
            </w:r>
          </w:p>
        </w:tc>
      </w:tr>
      <w:tr>
        <w:trPr>
          <w:trHeight w:val="21"/>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5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During the nine months ended September 30, 2019, cash used in operating activities was $103.9 million, which consisted of a net loss of $143.6 million, adjusted by non-cash expenses primarily related to stock-based compensation, depreciation, and non-cash rent expenses, partially offset by net amortization of discounts on marketable securities. Cash used in operating activities was also driven by changes in our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During the nine months ended September 30, 2018, cash used in operating activities was $43.1 million, which consisted of a net loss of $113.8 million, adjusted by non-cash expenses related to stock-based compensation and depreciation expenses, partially offset by net amortization of discounts on marketable securities. Cash used in operating activities was also driven by changes in our operating assets and liabilities primarily due to an increase of $57.1 million in the contract liability for revenue not yet recognized related to the Takeda Collaboration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52" w:lineRule="exact"/>
        <w:rPr>
          <w:sz w:val="20"/>
          <w:szCs w:val="20"/>
          <w:color w:val="auto"/>
        </w:rPr>
      </w:pPr>
    </w:p>
    <w:p>
      <w:pPr>
        <w:ind w:right="20" w:firstLine="450"/>
        <w:spacing w:after="0" w:line="271" w:lineRule="auto"/>
        <w:rPr>
          <w:sz w:val="20"/>
          <w:szCs w:val="20"/>
          <w:color w:val="auto"/>
        </w:rPr>
      </w:pPr>
      <w:r>
        <w:rPr>
          <w:rFonts w:ascii="Arial" w:cs="Arial" w:eastAsia="Arial" w:hAnsi="Arial"/>
          <w:sz w:val="18"/>
          <w:szCs w:val="18"/>
          <w:color w:val="auto"/>
        </w:rPr>
        <w:t>During the nine months ended September 30, 2019, cash provided by investing activities was $105.3 million, which consisted of $339.6 million in proceeds from the maturity of marketable securities, partially offset by $219.1 million of purchases of marketable securities and $15.1 million of capital expenditures to purchase property and equipment.</w:t>
      </w:r>
    </w:p>
    <w:p>
      <w:pPr>
        <w:spacing w:after="0" w:line="190"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During the nine months ended September 30, 2018, cash used in investing activities was $ 226.0 million, which consisted of $400.6 million of purchases of marketable securities and $2.0 million of capital expenditures to purchase property and equipment, partially offset by $176.6 million in proceeds from the maturity of marketable securities.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52"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During the nine months ended September 30, 2019, cash provided by financing activities was $4.2 million, which consisted entirely of proceeds from the exercise of options to purchase common stock and issuance of ESPP shares.</w:t>
      </w:r>
    </w:p>
    <w:p>
      <w:pPr>
        <w:spacing w:after="0" w:line="172"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During the nine months ended September 30, 2018, cash provided by financing activities was $95.3 million, which consisted of the $94.4 million market value of the 4,214,559 shares of common stock issued to Takeda in February 2018 under the Stock Purchase Agreement, and $2.3 million of proceeds from the exercise of common stock options. These amounts were partially offset by $1.4 million for payments of issuance costs related to the issuance of common and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have not entered into any off-balance sheet arrangements. Prior to our acquisition of all of the outstanding shares of F-star Gamma, our F-star Collaboration Agreement represented a variable interest in a variable interest entity, or VIE, F-star Gamma. However, we did not consolidate F-star Gamma in our consolidated financial statements because we had determined that we were not considered to be its primary beneficiary.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4"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In May 2018, we entered into an amendment to our headquarters lease (the "Headquarters Lease Amendment") to relocate and expand our headquarters to 148,020 rentable square feet in a building in South San Francisco, California (the "New Premises"). The Headquarters Lease Amendment has a contractual term of ten years from the legal commencement date, which was April 1, 2019 when the building was ready for occupancy. We have an option to extend the lease term for a period of ten years by giving the landlord written notice of the election to exercise the option at least nine months, but not more than twelve months, prior to the expiration of the Headquarters Lease Amendment lease term.</w:t>
      </w:r>
    </w:p>
    <w:p>
      <w:pPr>
        <w:spacing w:after="0" w:line="201" w:lineRule="exact"/>
        <w:rPr>
          <w:sz w:val="20"/>
          <w:szCs w:val="20"/>
          <w:color w:val="auto"/>
        </w:rPr>
      </w:pPr>
    </w:p>
    <w:p>
      <w:pPr>
        <w:ind w:right="220" w:firstLine="486"/>
        <w:spacing w:after="0" w:line="248" w:lineRule="auto"/>
        <w:rPr>
          <w:sz w:val="20"/>
          <w:szCs w:val="20"/>
          <w:color w:val="auto"/>
        </w:rPr>
      </w:pPr>
      <w:r>
        <w:rPr>
          <w:rFonts w:ascii="Arial" w:cs="Arial" w:eastAsia="Arial" w:hAnsi="Arial"/>
          <w:sz w:val="18"/>
          <w:szCs w:val="18"/>
          <w:color w:val="auto"/>
        </w:rPr>
        <w:t>The Headquarters Lease Amendment provides for monthly base rent amounts escalating over the term of the lease. In addition, the Headquarters Lease Amendment provides a tenant improvement allowance of up to $25.9 million, of which $4.4 million will be repaid to the landlord in the form of additional monthly rent. We are also required to pay the operating expenses for the New Premises, such as taxes and insurance.</w:t>
      </w:r>
    </w:p>
    <w:p>
      <w:pPr>
        <w:spacing w:after="0" w:line="198" w:lineRule="exact"/>
        <w:rPr>
          <w:sz w:val="20"/>
          <w:szCs w:val="20"/>
          <w:color w:val="auto"/>
        </w:rPr>
      </w:pPr>
    </w:p>
    <w:p>
      <w:pPr>
        <w:ind w:right="200" w:firstLine="486"/>
        <w:spacing w:after="0" w:line="260" w:lineRule="auto"/>
        <w:rPr>
          <w:sz w:val="20"/>
          <w:szCs w:val="20"/>
          <w:color w:val="auto"/>
        </w:rPr>
      </w:pPr>
      <w:r>
        <w:rPr>
          <w:rFonts w:ascii="Arial" w:cs="Arial" w:eastAsia="Arial" w:hAnsi="Arial"/>
          <w:sz w:val="18"/>
          <w:szCs w:val="18"/>
          <w:color w:val="auto"/>
        </w:rPr>
        <w:t>Effective September 2017, we entered into a Development and Manufacturing Services Agreement, as amended ("DMSA") with Lonza Sales AG ("Lonza") for the development and manufacture of biologic products. Under the DMSA, we will execute purchase orders based on project plans authorizing Lonza to provide development and manufacturing services with respect to certain of our antibody and enzyme products, and will pay for the services provided and batches delivered in accordance with the DMSA and project plan. Unless earlier terminated, the DMSA will expire on September 6, 2022.</w:t>
      </w:r>
    </w:p>
    <w:p>
      <w:pPr>
        <w:spacing w:after="0" w:line="13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As of September 30, 2019 and December 31, 2018, we had open non-cancellable purchase orders for biological product development and manufacturing costs totaling $ 22.7 million and $ 24.7 million respectively. The activities under these purchase orders are expected to be completed by November 2024. As of September 30, 2019 and December 31, 2018, we had total non-refundable purchase commitments of $8.8 million and $14.0 million, respectively, under the DMSA.</w:t>
      </w:r>
    </w:p>
    <w:p>
      <w:pPr>
        <w:spacing w:after="0" w:line="14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During the three months ended September 30, 2019 and 2018, we incurred costs of $3.0 million and $1.4 million, respectively, and made payments of $2.5 million and $1.3 million, respectively, for the development and manufacturing services rendered under the DMSA. During the nine months ended September 30, 2019 and 2018, we incurred costs of $9.7 million and $2.6 million, respectively, and made payments of $9.0 million and $2.0 million, respectively, for the development and manufacturing services rendered under the DMSA.</w:t>
      </w:r>
    </w:p>
    <w:p>
      <w:pPr>
        <w:spacing w:after="0" w:line="129"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Other than those detailed above, there have been no other material changes from the contractual obligations and commitments previously disclosed in our Annual Report on Form 10-K for the year ended December 31, 2018, as filed with the SEC on March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Other than the updated leases accounting policy included below, there have been no material changes to our critical accounting policies and estimates during the nine months ended September 30, 2019 from those described in “Management’s Discussion and Analysis of Financial Condition and Results of Operations” included in our Annual Report on Form 10-K for the year ended December 31, 2018, as filed with the SEC on March 12,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make a determination as to whether an arrangement is a lease at inception. We recognize a right-of-use (“ROU”) asset and operating lease liability for identified operating leases in the Condensed Consolidated Balance Sheets.</w:t>
      </w:r>
    </w:p>
    <w:p>
      <w:pPr>
        <w:spacing w:after="0" w:line="104"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ROU assets represent our right to use the underlying assets for the lease term and lease liabilities represent our obligation to make lease payments arising from the lease. We recognize operating lease ROU assets and liabilities at commencement date based on the present value of lease payments due over the lease term, with the ROU assets adjusted for lease incentives received. When determining the present value of lease payments, we use our incremental borrowing rate (“IBR”) on the date of lease commencement, or the rate implicit in the lease, if known. We do not assume renewals or early terminations in our determination of the lease term unless it is reasonably certain at lease inception to exercise these options.</w:t>
      </w:r>
    </w:p>
    <w:p>
      <w:pPr>
        <w:spacing w:after="0" w:line="151"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We do not include leases with an initial term of 12 months or less on the balance sheet, unless they include an option to purchase the underlying asset which is reasonably certain of exercise. We recognize lease expenses on a straight-line basis over the lease term. We have leases with lease and non-lease components, which we have elected to account for as a single lease component.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4" w:lineRule="exact"/>
        <w:rPr>
          <w:sz w:val="20"/>
          <w:szCs w:val="20"/>
          <w:color w:val="auto"/>
        </w:rPr>
      </w:pPr>
    </w:p>
    <w:p>
      <w:pPr>
        <w:ind w:right="380" w:firstLine="486"/>
        <w:spacing w:after="0" w:line="260" w:lineRule="auto"/>
        <w:rPr>
          <w:sz w:val="20"/>
          <w:szCs w:val="20"/>
          <w:color w:val="auto"/>
        </w:rPr>
      </w:pPr>
      <w:r>
        <w:rPr>
          <w:rFonts w:ascii="Arial" w:cs="Arial" w:eastAsia="Arial" w:hAnsi="Arial"/>
          <w:sz w:val="18"/>
          <w:szCs w:val="18"/>
          <w:color w:val="auto"/>
        </w:rPr>
        <w:t>Except as described in Note 1 to the condensed consolidated financial statements under the headings "Recently Issued Accounting Pronouncement" and "Recently Adopted Accounting Pronouncement," there have been no new accounting pronouncements or changes to accounting pronouncements during the nine months ended September 30, 2019, as compared to the recent accounting pronouncements described in our Annual Report on Form 10-K for the year ended December 31, 2018, as filed with the SEC on March 12, 2019,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54"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marketable securities of $502.9 million as of September 30, 2019, which consisted primarily of money market funds and marketable securities, largely composed of investment grade, short to intermediate term fixed income securities.</w:t>
      </w:r>
    </w:p>
    <w:p>
      <w:pPr>
        <w:spacing w:after="0" w:line="190"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policy.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25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the Euro, British Pound, and Swiss Franc, and we therefore are subject to foreign exchange risk. The fluctuation in the value of the U.S. dollar against other currencies affects the reported amounts of expenses, assets and liabilities primarily associated with a limited number of preclinical and clinical activities.</w:t>
      </w:r>
    </w:p>
    <w:p>
      <w:pPr>
        <w:spacing w:after="0" w:line="19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We seek to mitigate the impact of changes in currency exchange rates on cash flows from certain foreign currency denominated operating expenses by entering into forward foreign currency exchange contracts. Generally, the market risks of these contracts are offset by the corresponding gains and losses on the transactions being hedged.</w:t>
      </w:r>
    </w:p>
    <w:p>
      <w:pPr>
        <w:spacing w:after="0" w:line="190"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effects of changes in foreign currency exchange rates. The counterparties to these forward foreign currency exchange contracts are creditworthy multinational commercial banks, which minimizes the risk of counterparty nonperformance. We regularly review our hedging program and may, as part of this review, make changes to the program.</w:t>
      </w:r>
    </w:p>
    <w:p>
      <w:pPr>
        <w:spacing w:after="0" w:line="197"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As of September 30, 2019, we had open forward foreign currency exchange contracts with notional amounts of $7.6 million. A hypothetical 10% strengthening in foreign currency compared with the U.S. dollar at September 30, 2019 would have resulted in an increase in the value received over the remaining life of these contracts of approximately $0.8 million and, if realized, would positively affect earnings during the remaining life of the contracts. This analysis does not consider the impact of the hypothetical changes in foreign currency rates would have on the forecasted transactions that these foreign currency sensitive instruments were designated to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As of September 30, 2019,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spacing w:after="0" w:line="20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2019, the design and operation of our disclosure controls and procedures were effective at a reasonable assurance level.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ind w:right="300" w:firstLine="486"/>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27" w:right="3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4"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9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10 -Q,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 The risk factors set forth below are substantially the same as the risk factors included in our Annual Report on Form 10-K filed with the Securities and Exchange Commission on March 12,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335" w:lineRule="exact"/>
        <w:rPr>
          <w:sz w:val="20"/>
          <w:szCs w:val="20"/>
          <w:color w:val="auto"/>
        </w:rPr>
      </w:pPr>
    </w:p>
    <w:p>
      <w:pPr>
        <w:ind w:right="560"/>
        <w:spacing w:after="0" w:line="301" w:lineRule="auto"/>
        <w:rPr>
          <w:sz w:val="20"/>
          <w:szCs w:val="20"/>
          <w:color w:val="auto"/>
        </w:rPr>
      </w:pPr>
      <w:r>
        <w:rPr>
          <w:rFonts w:ascii="Arial" w:cs="Arial" w:eastAsia="Arial" w:hAnsi="Arial"/>
          <w:sz w:val="18"/>
          <w:szCs w:val="18"/>
          <w:b w:val="1"/>
          <w:bCs w:val="1"/>
          <w:i w:val="1"/>
          <w:iCs w:val="1"/>
          <w:color w:val="auto"/>
        </w:rPr>
        <w:t>We are in the early stages of clinical drug development and have a very limited operating history and no products approved for commercial sale, which may make it difficult to evaluate our current business and predict our future success and viability.</w:t>
      </w:r>
    </w:p>
    <w:p>
      <w:pPr>
        <w:spacing w:after="0" w:line="156"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We are an early clinical -stage biopharmaceutical company with a very limited operating history, focused on developing therapeutics for neurodegenerative diseases, including Alzheimer’s disease, Parkinson’s disease and amyotrophic lateral sclerosis ("ALS"). We commenced operations in May 2015, have no products approved for commercial sale and have not generated any revenue from product sales. Drug development is a highly uncertain undertaking and involves a substantial degree of risk. We are in Phase 1 clinical trials for our LRRK2 and RIPK1 programs and have not initiated clinical trials for any of our other current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285" w:lineRule="exact"/>
        <w:rPr>
          <w:sz w:val="20"/>
          <w:szCs w:val="20"/>
          <w:color w:val="auto"/>
        </w:rPr>
      </w:pPr>
    </w:p>
    <w:p>
      <w:pPr>
        <w:ind w:right="1020"/>
        <w:spacing w:after="0" w:line="301"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net losses for the foreseeable future.</w:t>
      </w:r>
    </w:p>
    <w:p>
      <w:pPr>
        <w:spacing w:after="0" w:line="156"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We have incurred significant net losses since our inception, including net losses of $46.3 million and $ 143.6 million for the three and nine months ended September 30, 2019, respectively, and $35.4 million and $113.8 million for the three and nine months ended September 30, 2018, respectively. As of September 30, 2019, we had an accumulated deficit of $371.5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We have invested significant financial resources in research and development activities, including for our preclinical and clinical product candidates and our BBB platform technology. We do not expect to generate revenue from product sales for several years, if at all.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indication of our future performance.</w:t>
      </w:r>
    </w:p>
    <w:p>
      <w:pPr>
        <w:spacing w:after="0" w:line="202" w:lineRule="exact"/>
        <w:rPr>
          <w:sz w:val="20"/>
          <w:szCs w:val="20"/>
          <w:color w:val="auto"/>
        </w:rPr>
      </w:pPr>
    </w:p>
    <w:p>
      <w:pPr>
        <w:ind w:right="320" w:firstLine="486"/>
        <w:spacing w:after="0" w:line="292" w:lineRule="auto"/>
        <w:rPr>
          <w:sz w:val="20"/>
          <w:szCs w:val="20"/>
          <w:color w:val="auto"/>
        </w:rPr>
      </w:pPr>
      <w:r>
        <w:rPr>
          <w:rFonts w:ascii="Arial" w:cs="Arial" w:eastAsia="Arial" w:hAnsi="Arial"/>
          <w:sz w:val="18"/>
          <w:szCs w:val="18"/>
          <w:color w:val="auto"/>
        </w:rPr>
        <w:t>We expect to continue to incur significant expenses and increasingly higher operating losses for the foreseeable future. We anticipate that our expenses will increase substantially if and as we:</w:t>
      </w:r>
    </w:p>
    <w:p>
      <w:pPr>
        <w:spacing w:after="0" w:line="145"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252" w:lineRule="exact"/>
        <w:rPr>
          <w:rFonts w:ascii="Arial" w:cs="Arial" w:eastAsia="Arial" w:hAnsi="Arial"/>
          <w:sz w:val="18"/>
          <w:szCs w:val="18"/>
          <w:color w:val="auto"/>
        </w:rPr>
      </w:pPr>
    </w:p>
    <w:p>
      <w:pPr>
        <w:ind w:left="900" w:right="80" w:hanging="244"/>
        <w:spacing w:after="0" w:line="292"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license or collaboration agreements;</w:t>
      </w:r>
    </w:p>
    <w:p>
      <w:pPr>
        <w:spacing w:after="0" w:line="252" w:lineRule="exact"/>
        <w:rPr>
          <w:rFonts w:ascii="Arial" w:cs="Arial" w:eastAsia="Arial" w:hAnsi="Arial"/>
          <w:sz w:val="18"/>
          <w:szCs w:val="18"/>
          <w:color w:val="auto"/>
        </w:rPr>
      </w:pPr>
    </w:p>
    <w:p>
      <w:pPr>
        <w:ind w:left="900" w:right="560" w:hanging="244"/>
        <w:spacing w:after="0" w:line="292"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maintain, protect and enforce our intellectual property portfolio, including intellectual property obtained through license agreements;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52" w:lineRule="exact"/>
        <w:rPr>
          <w:rFonts w:ascii="Arial" w:cs="Arial" w:eastAsia="Arial" w:hAnsi="Arial"/>
          <w:sz w:val="18"/>
          <w:szCs w:val="18"/>
          <w:color w:val="auto"/>
        </w:rPr>
      </w:pPr>
    </w:p>
    <w:p>
      <w:pPr>
        <w:ind w:left="900" w:right="920" w:hanging="244"/>
        <w:spacing w:after="0" w:line="292"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additional internal infrastructure to support our continued research and development operations and any planned commercialization efforts in the future;</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271"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product revenue or be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obtain revenue from the sales of our product candidates that are significant or large enough to achieve profitability, we must succeed, either alone or with third parties, in developing, obtaining regulatory approval for, manufacturing and marketing therapies with significant commercial success.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225"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225" w:lineRule="exact"/>
        <w:rPr>
          <w:rFonts w:ascii="Arial" w:cs="Arial" w:eastAsia="Arial" w:hAnsi="Arial"/>
          <w:sz w:val="18"/>
          <w:szCs w:val="18"/>
          <w:color w:val="auto"/>
        </w:rPr>
      </w:pPr>
    </w:p>
    <w:p>
      <w:pPr>
        <w:ind w:left="900" w:right="460" w:hanging="244"/>
        <w:spacing w:after="0" w:line="292"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144" w:lineRule="exact"/>
        <w:rPr>
          <w:rFonts w:ascii="Arial" w:cs="Arial" w:eastAsia="Arial" w:hAnsi="Arial"/>
          <w:sz w:val="18"/>
          <w:szCs w:val="18"/>
          <w:color w:val="auto"/>
        </w:rPr>
      </w:pPr>
    </w:p>
    <w:p>
      <w:pPr>
        <w:ind w:left="900" w:right="420" w:hanging="244"/>
        <w:spacing w:after="0" w:line="271"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those that utilize our BBB platform technology, as well as establishing and maintaining commercially viable supply relationships with third parties that can provide adequate products and services to support clinical activities and commercial demand of our product candidates;</w:t>
      </w:r>
    </w:p>
    <w:p>
      <w:pPr>
        <w:spacing w:after="0" w:line="190"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52" w:lineRule="exact"/>
        <w:rPr>
          <w:rFonts w:ascii="Arial" w:cs="Arial" w:eastAsia="Arial" w:hAnsi="Arial"/>
          <w:sz w:val="18"/>
          <w:szCs w:val="18"/>
          <w:color w:val="auto"/>
        </w:rPr>
      </w:pPr>
    </w:p>
    <w:p>
      <w:pPr>
        <w:ind w:left="900" w:right="280" w:hanging="244"/>
        <w:spacing w:after="0" w:line="292"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171" w:lineRule="exact"/>
        <w:rPr>
          <w:rFonts w:ascii="Arial" w:cs="Arial" w:eastAsia="Arial" w:hAnsi="Arial"/>
          <w:sz w:val="18"/>
          <w:szCs w:val="18"/>
          <w:color w:val="auto"/>
        </w:rPr>
      </w:pPr>
    </w:p>
    <w:p>
      <w:pPr>
        <w:ind w:left="900" w:right="280" w:hanging="244"/>
        <w:spacing w:after="0" w:line="292"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52" w:lineRule="exact"/>
        <w:rPr>
          <w:rFonts w:ascii="Arial" w:cs="Arial" w:eastAsia="Arial" w:hAnsi="Arial"/>
          <w:sz w:val="18"/>
          <w:szCs w:val="18"/>
          <w:color w:val="auto"/>
        </w:rPr>
      </w:pPr>
    </w:p>
    <w:p>
      <w:pPr>
        <w:ind w:left="900" w:right="380" w:hanging="244"/>
        <w:spacing w:after="0" w:line="292"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U.S. Food and Drug Administration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may need to obtain additional funding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151"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271"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If we fail to obtain additional financing, we may be unable to complete the development and, if approved, commercialization of our product candidates.</w:t>
      </w:r>
    </w:p>
    <w:p>
      <w:pPr>
        <w:spacing w:after="0" w:line="156"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Our operations have required substantial amounts of cash since inception. To date, we have financed our operations primarily through the issuance and sale of convertible preferred stock, the proceeds from our IPO and cash proceeds under our Takeda Collaboration Agreement and Sanofi Collaboration Agreement. We are currently advancing three product candidates, DNL201, DNL151 and DNL747, through clinical development and have several other product candidates in preclinical development, as well as early-stage research projects. Developing our product candidates is expensive, and we expect to continue to spend substantial amounts as we fund our early-stage research projects, continue preclinical development of our seed programs and, in particular, advance our core programs through preclinical development and clinical trials. Even if we are successful in developing our product candidates, obtaining regulatory approvals and launching and commercializing any product candidate will require substantial additional funding.</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September 30, 2019, we had $502.9 million in cash, cash equivalents and marketable securities. We believe that our existing cash, cash equivalents and marketable securities will be sufficient to fund our projected operations through at least the next 12 months. Our estimate as to how long we expect our existing cash, cash equivalents and marketable securities to be available to fund our operations is based on assumptions that may be proved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4"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growth prospects and cause the price of our common stock to decline.</w:t>
      </w:r>
    </w:p>
    <w:p>
      <w:pPr>
        <w:spacing w:after="0" w:line="286"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and fail to capitalize on product candidates or indications that may be more profitable or for which there is a greater likelihood of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auto"/>
        </w:rPr>
        <w:t>We designate certain programs as core programs and others as seed programs. Together, these programs require significant capital investment. Our programs are at various stages of research, discovery, preclinical and early clinical development. We seek to maintain a process of prioritization and resource allocation to maintain an optimal balance between aggressively advancing lead programs and ensuring replenishment of our portfolio. We regularly review the designation of each program as core or seed, and terminate those programs which do not meet our development criteria, which we have done a number of times in the past.</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Due to the significant resources required for the development of our programs, we must focus our programs on specific diseases and disease pathways and decide which product candidates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our business, financial condition, results of operations and growth prospects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335"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are heavily dependent on the successful development of our BBB platform technology and the product candidates currently in our core programs, which are in the early stages of preclinical and clinical development. We cannot give any assurance that any of our product candidates will receive regulatory, including marketing, approval, which is necessary before they can be commercialized.</w:t>
      </w:r>
    </w:p>
    <w:p>
      <w:pPr>
        <w:spacing w:after="0" w:line="186"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We are at an early stage of development of the product candidates currently in our programs and are further developing our BBB platform technology. To date, we have invested substantially all of our efforts and financial resources to identify, acquire intellectual property for, and develop our BBB platform technology and our programs, including conducting preclinical studies and early-stage clinical trials in our core programs, and providing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w:t>
      </w:r>
    </w:p>
    <w:p>
      <w:pPr>
        <w:spacing w:after="0" w:line="178"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delivery platform technology designed to deliver large molecule therapeutics across the BBB may not be clinically viable;</w:t>
      </w:r>
    </w:p>
    <w:p>
      <w:pPr>
        <w:spacing w:after="0" w:line="252" w:lineRule="exact"/>
        <w:rPr>
          <w:rFonts w:ascii="Arial" w:cs="Arial" w:eastAsia="Arial" w:hAnsi="Arial"/>
          <w:sz w:val="18"/>
          <w:szCs w:val="18"/>
          <w:color w:val="auto"/>
        </w:rPr>
      </w:pPr>
    </w:p>
    <w:p>
      <w:pPr>
        <w:ind w:left="900" w:right="120" w:hanging="244"/>
        <w:spacing w:after="0" w:line="292"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20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to deliver large molecule therapeutics across the BBB that render our platform technology obsolete or less attractive;</w:t>
      </w:r>
    </w:p>
    <w:p>
      <w:pPr>
        <w:spacing w:after="0" w:line="171" w:lineRule="exact"/>
        <w:rPr>
          <w:rFonts w:ascii="Arial" w:cs="Arial" w:eastAsia="Arial" w:hAnsi="Arial"/>
          <w:sz w:val="18"/>
          <w:szCs w:val="18"/>
          <w:color w:val="auto"/>
        </w:rPr>
      </w:pPr>
    </w:p>
    <w:p>
      <w:pPr>
        <w:ind w:left="900" w:right="38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candidates and BBB platform technology that we develop may not be sufficiently covered by intellectual property for which we hold exclusive rights;</w:t>
      </w:r>
    </w:p>
    <w:p>
      <w:pPr>
        <w:spacing w:after="0" w:line="171"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candidates and BBB platform technology that we develop may be covered by third parties’ patents or other intellectual property or exclusive rights;</w:t>
      </w:r>
    </w:p>
    <w:p>
      <w:pPr>
        <w:spacing w:after="0" w:line="171" w:lineRule="exact"/>
        <w:rPr>
          <w:rFonts w:ascii="Arial" w:cs="Arial" w:eastAsia="Arial" w:hAnsi="Arial"/>
          <w:sz w:val="18"/>
          <w:szCs w:val="18"/>
          <w:color w:val="auto"/>
        </w:rPr>
      </w:pPr>
    </w:p>
    <w:p>
      <w:pPr>
        <w:ind w:left="900" w:right="94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52" w:lineRule="exact"/>
        <w:rPr>
          <w:rFonts w:ascii="Arial" w:cs="Arial" w:eastAsia="Arial" w:hAnsi="Arial"/>
          <w:sz w:val="18"/>
          <w:szCs w:val="18"/>
          <w:color w:val="auto"/>
        </w:rPr>
      </w:pPr>
    </w:p>
    <w:p>
      <w:pPr>
        <w:ind w:left="900" w:right="18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171" w:lineRule="exact"/>
        <w:rPr>
          <w:rFonts w:ascii="Arial" w:cs="Arial" w:eastAsia="Arial" w:hAnsi="Arial"/>
          <w:sz w:val="18"/>
          <w:szCs w:val="18"/>
          <w:color w:val="auto"/>
        </w:rPr>
      </w:pPr>
    </w:p>
    <w:p>
      <w:pPr>
        <w:ind w:left="900" w:right="820" w:hanging="244"/>
        <w:spacing w:after="0" w:line="292"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2" w:lineRule="exact"/>
        <w:rPr>
          <w:sz w:val="20"/>
          <w:szCs w:val="20"/>
          <w:color w:val="auto"/>
        </w:rPr>
      </w:pPr>
    </w:p>
    <w:p>
      <w:pPr>
        <w:ind w:right="500" w:firstLine="486"/>
        <w:spacing w:after="0" w:line="292"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w:t>
      </w:r>
    </w:p>
    <w:p>
      <w:pPr>
        <w:spacing w:after="0" w:line="14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We may not be successful in our efforts to further develop our BBB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20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never completed a clinical development program. In the past two years, we have discontinued the development of certain molecules prior to completion of preclinical development because we did not believe they met our criteria for potential clinical success. We currently have one product candidate, DNL201, in a Phase 1b clinical study in Parkinson's disease patients with and without the genetic LRRK2 mutation, one product candidate, DNL747, in Phase 1b clinical studies in ALS and Alzheimer's disease patients, and one product candidate, DNL151, in both a Phase 1 clinical trial in healthy volunteers and Phase 1b clinical trial in Parkinson's disease patients. None of our product candidates have advanced into late-stage development or a pivotal clinical trial and it may be years before any such trial is initiated, if at all. Further, we cannot be certain that any of our product candidates will be successful in clinical trials. For instance, in 2016, we initiated a Phase 1 clinical trial in a former RIPK1 inhibitor product candidate, DNL104, which we subsequently discontinued based on liver test abnormalities in some clinical trial healthy volunteer participants. We may in the future advance product candidates into clinical trials and terminate such trials prior to their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If any of our product candidates successfully complete clinical trials, we generally plan to seek regulatory approval to market our product candidates in the United States, the European Union ("EU"), and in additional foreign countries where we believe there is a viable commercial opportunity. We have never commenced, compiled or submitted an application seeking regulatory approval to market any product candidate.</w:t>
      </w:r>
    </w:p>
    <w:p>
      <w:pPr>
        <w:spacing w:after="0" w:line="252" w:lineRule="auto"/>
        <w:rPr>
          <w:sz w:val="20"/>
          <w:szCs w:val="20"/>
          <w:color w:val="auto"/>
        </w:rPr>
      </w:pPr>
      <w:r>
        <w:rPr>
          <w:rFonts w:ascii="Arial" w:cs="Arial" w:eastAsia="Arial" w:hAnsi="Arial"/>
          <w:sz w:val="18"/>
          <w:szCs w:val="18"/>
          <w:color w:val="auto"/>
        </w:rPr>
        <w:t>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or do so within the time 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business, financial condition, results of operations and growth prospects could be negatively affected.</w:t>
      </w:r>
    </w:p>
    <w:p>
      <w:pPr>
        <w:spacing w:after="0" w:line="210"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Even if we receive regulatory approval to market any of our product candidates, whether for the treatment of neurodegenerative diseases or other diseases, we cannot assure you that any such product candidate will be successfully commercialized, widely accepted in the marketplace or more effective than other commercially available alternatives.</w:t>
      </w:r>
    </w:p>
    <w:p>
      <w:pPr>
        <w:spacing w:after="0" w:line="190" w:lineRule="exact"/>
        <w:rPr>
          <w:sz w:val="20"/>
          <w:szCs w:val="20"/>
          <w:color w:val="auto"/>
        </w:rPr>
      </w:pPr>
    </w:p>
    <w:p>
      <w:pPr>
        <w:ind w:right="680" w:firstLine="486"/>
        <w:spacing w:after="0" w:line="264"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78" w:lineRule="exact"/>
        <w:rPr>
          <w:sz w:val="20"/>
          <w:szCs w:val="20"/>
          <w:color w:val="auto"/>
        </w:rPr>
      </w:pPr>
    </w:p>
    <w:p>
      <w:pPr>
        <w:ind w:right="20"/>
        <w:spacing w:after="0" w:line="333"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13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One of our strategies is to identify and pursue clinical development of additional product candidates. We currently have several programs in the research, discovery and preclinical stages of development. Identifying, developing, obtaining regulatory approval and commercializing additional product candidates for the treatment of neurodegenerative diseases will require substantial additional funding and is prone to the risks of failure inherent in drug development. We cannot provide you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w:t>
      </w:r>
    </w:p>
    <w:p>
      <w:pPr>
        <w:spacing w:after="0" w:line="287"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have concentrated a substantial portion of our research and development efforts on the treatment of neurodegenerative diseases, a field that has seen limited success in drug development. Further, our product candidates are based on new approaches and novel technology, which makes it difficult to predict the time and cost of product candidate development and subsequently obtaining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We have focused our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Alzheimer’s disease, Parkinson’s disease, ALS and other neurodegenerative diseases. Our future success is highly dependent on the successful development of our BBB platform technology and our product candidates for treating neurodegenerative diseases. Developing and, if approved, commercializing our product candidates for treatment of neurodegenerative diseases subjects us to a number of challenges, including engineering product candidates to cross the BBB to enable optimal concentration of the therapeutic in the brain and obtaining regulatory approval from the FDA and other regulatory authorities who have only a limited set of precedents to rely on.</w:t>
      </w:r>
    </w:p>
    <w:p>
      <w:pPr>
        <w:spacing w:after="0" w:line="20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approach to the treatment of neurodegenerative diseases aims to identify and select targets with a genetic link to neurodegenerative diseases, identify and develop molecules that engage the intended target, identify and develop biomarkers, which are biological molecules found in blood, other bodily fluids or tissues that are signs of a normal or abnormal process or of a condition or disease, to select the right patient population and demonstrate target engagement, pathway engagement and impact on disease progression of our molecules, and engineer our molecules to cross the BBB and act directly in the brain. This strategy may not prove to be successful. We may not be able to discover, develop and utilize biomarkers to demonstrate target engagement, pathway engagement and the impact on disease progression of our molecules. We cannot be sure that our approach will yield satisfactory therapeutic products that are safe and effective, scalable, or profitable. Moreover, public perception of drug safety issues, including adoption of new therapeutics or novel approaches to treatment, may adversely influence the willingness of subjects to participate in clinical trials, or if approved, of physicians to subscribe to novel treatments.</w:t>
      </w:r>
    </w:p>
    <w:p>
      <w:pPr>
        <w:spacing w:after="0" w:line="290" w:lineRule="exact"/>
        <w:rPr>
          <w:sz w:val="20"/>
          <w:szCs w:val="20"/>
          <w:color w:val="auto"/>
        </w:rPr>
      </w:pPr>
    </w:p>
    <w:p>
      <w:pPr>
        <w:ind w:right="700"/>
        <w:spacing w:after="0" w:line="30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156"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("IND"), or a clinical trial application ("CTA"), will result in the FDA or European Medicines Agency ("EMA"),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178" w:lineRule="exact"/>
        <w:rPr>
          <w:sz w:val="20"/>
          <w:szCs w:val="20"/>
          <w:color w:val="auto"/>
        </w:rPr>
      </w:pPr>
    </w:p>
    <w:p>
      <w:pPr>
        <w:ind w:left="900" w:right="100" w:hanging="244"/>
        <w:spacing w:after="0" w:line="292"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171" w:lineRule="exact"/>
        <w:rPr>
          <w:rFonts w:ascii="Arial" w:cs="Arial" w:eastAsia="Arial" w:hAnsi="Arial"/>
          <w:sz w:val="18"/>
          <w:szCs w:val="18"/>
          <w:color w:val="auto"/>
        </w:rPr>
      </w:pPr>
    </w:p>
    <w:p>
      <w:pPr>
        <w:ind w:left="900" w:right="600" w:hanging="244"/>
        <w:spacing w:after="0" w:line="292"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confirming target engagement, patient selection or other relevant biomarkers to be utilized in preclinical and clinical product candidate development;</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52" w:lineRule="exact"/>
        <w:rPr>
          <w:rFonts w:ascii="Arial" w:cs="Arial" w:eastAsia="Arial" w:hAnsi="Arial"/>
          <w:sz w:val="18"/>
          <w:szCs w:val="18"/>
          <w:color w:val="auto"/>
        </w:rPr>
      </w:pPr>
    </w:p>
    <w:p>
      <w:pPr>
        <w:ind w:left="900" w:right="120" w:hanging="244"/>
        <w:spacing w:after="0" w:line="292"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180" w:hanging="244"/>
        <w:spacing w:after="0" w:line="258"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EMA concerns about risk to patients of the technology broadly; or if the FDA or EMA finds that the investigational protocol or plan is clearly deficient to meet its stated objectives;</w:t>
      </w:r>
    </w:p>
    <w:p>
      <w:pPr>
        <w:spacing w:after="0" w:line="204" w:lineRule="exact"/>
        <w:rPr>
          <w:rFonts w:ascii="Arial" w:cs="Arial" w:eastAsia="Arial" w:hAnsi="Arial"/>
          <w:sz w:val="18"/>
          <w:szCs w:val="18"/>
          <w:color w:val="auto"/>
        </w:rPr>
      </w:pPr>
    </w:p>
    <w:p>
      <w:pPr>
        <w:ind w:left="900" w:right="540" w:hanging="244"/>
        <w:spacing w:after="0" w:line="292"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252" w:lineRule="exact"/>
        <w:rPr>
          <w:rFonts w:ascii="Arial" w:cs="Arial" w:eastAsia="Arial" w:hAnsi="Arial"/>
          <w:sz w:val="18"/>
          <w:szCs w:val="18"/>
          <w:color w:val="auto"/>
        </w:rPr>
      </w:pPr>
    </w:p>
    <w:p>
      <w:pPr>
        <w:ind w:left="900" w:right="760" w:hanging="244"/>
        <w:spacing w:after="0" w:line="292"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("cGCPs") requirements, or applicable EMA or other regulatory guidelines in other countries;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252" w:lineRule="exact"/>
        <w:rPr>
          <w:rFonts w:ascii="Arial" w:cs="Arial" w:eastAsia="Arial" w:hAnsi="Arial"/>
          <w:sz w:val="18"/>
          <w:szCs w:val="18"/>
          <w:color w:val="auto"/>
        </w:rPr>
      </w:pPr>
    </w:p>
    <w:p>
      <w:pPr>
        <w:ind w:left="900" w:right="280" w:hanging="244"/>
        <w:spacing w:after="0" w:line="292"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171" w:lineRule="exact"/>
        <w:rPr>
          <w:rFonts w:ascii="Arial" w:cs="Arial" w:eastAsia="Arial" w:hAnsi="Arial"/>
          <w:sz w:val="18"/>
          <w:szCs w:val="18"/>
          <w:color w:val="auto"/>
        </w:rPr>
      </w:pPr>
    </w:p>
    <w:p>
      <w:pPr>
        <w:ind w:left="900" w:right="420" w:hanging="244"/>
        <w:spacing w:after="0" w:line="292"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of manufacturing processes from our academic collaborators to larger-scale facilities operated by a CMO or by us, and delays or failure by our CMOs or us to make any necessary changes to such manufacturing process; and</w:t>
      </w:r>
    </w:p>
    <w:p>
      <w:pPr>
        <w:spacing w:after="0" w:line="171" w:lineRule="exact"/>
        <w:rPr>
          <w:rFonts w:ascii="Arial" w:cs="Arial" w:eastAsia="Arial" w:hAnsi="Arial"/>
          <w:sz w:val="18"/>
          <w:szCs w:val="18"/>
          <w:color w:val="auto"/>
        </w:rPr>
      </w:pPr>
    </w:p>
    <w:p>
      <w:pPr>
        <w:ind w:left="900" w:hanging="244"/>
        <w:spacing w:after="0" w:line="292"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72"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20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Our most advanced LRRK2 product candidate, DNL201, is in a Phase 1b clinical study in Parkinson's disease patients with and without the genetic LRRK2 mutation. This program was previously subject to a partial clinical hold due to preclinical toxicity data. The partial clinical hold was removed in December 2017 based on additional clinical and preclinical data provided to the FDA. Our other clinical stage programs are DNL747, which is in Phase 1b clinical studies in ALS and Alzheimer's disease patients, and DNL151 which is in both a Phase 1 clinical trial in healthy volunteers and a Phase 1b clinical trial in Parkinson's disease patients. In the nonclinical safety studies for DNL201, DNL747 and DNL151, toxicities were observed at high doses in rat and/or cynomolgus monkey above doses and exposures that will be tested in the clinic. We cannot assure you that DNL201, DNL747 and DNL151 or our other product candidates will not be subject to new, partial or full clinical holds in the future.</w:t>
      </w:r>
    </w:p>
    <w:p>
      <w:pPr>
        <w:spacing w:after="0" w:line="205"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such as we did for DNL104, which could adversely affect our business.</w:t>
      </w:r>
    </w:p>
    <w:p>
      <w:pPr>
        <w:spacing w:after="0" w:line="17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78"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156"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63"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52" w:lineRule="exact"/>
        <w:rPr>
          <w:rFonts w:ascii="Arial" w:cs="Arial" w:eastAsia="Arial" w:hAnsi="Arial"/>
          <w:sz w:val="18"/>
          <w:szCs w:val="18"/>
          <w:color w:val="auto"/>
        </w:rPr>
      </w:pPr>
    </w:p>
    <w:p>
      <w:pPr>
        <w:ind w:left="900" w:right="100" w:hanging="244"/>
        <w:spacing w:after="0" w:line="271"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biomarker-driven identification and/or certain highly-specific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190"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hanging="244"/>
        <w:spacing w:after="0" w:line="292"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333"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156"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Open-label extension studies may also extend the timing and increase the cost of clinical development substantially.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w:t>
      </w:r>
    </w:p>
    <w:p>
      <w:pPr>
        <w:spacing w:after="0" w:line="204"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results of operations and growth prospects.</w:t>
      </w:r>
    </w:p>
    <w:p>
      <w:pPr>
        <w:spacing w:after="0" w:line="202"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86"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The development and commercialization of new drug products is highly competitive. Moreover, the neurodegenerative field is characterized by strong and increasing competition, and a strong emphasis on intellectual property.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ind w:right="180" w:firstLine="486"/>
        <w:spacing w:after="0" w:line="258"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neurodegenerative disease indications for which we have research programs, including Alzheimer’s disease, Parkinson’s disease and ALS. Companies that we are aware are developing therapeutics in the neurodegenerative disease area include large companies with significant financial resources, such as AbbVie, AstraZeneca, Biogen, Celgene, Eli Lilly, GlaxoSmithKline, Johnson &amp; Johnson, Novartis, Roche, Sanofi and Takeda. In addition to competition from other companies targeting neurodegenerative indications, any products we may develop may also face competition from other types of therapies, such as gene-editing therapies.</w:t>
      </w:r>
    </w:p>
    <w:p>
      <w:pPr>
        <w:spacing w:after="0" w:line="2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1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 See “Risks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b w:val="1"/>
          <w:bCs w:val="1"/>
          <w:i w:val="1"/>
          <w:iCs w:val="1"/>
          <w:color w:val="auto"/>
        </w:rPr>
        <w:t>The manufacture of our product candidates, particularly those that utilize our BBB platform technology,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spacing w:after="0" w:line="18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processes involved in manufacturing our drug and biological product candidates, particularly those that utilize our BBB platform technology, are complex, expensive, highly-regulated and subject to multiple risks. Additionally, the manufacture of biologics involves complex processes, including developing cells or cell systems to produce the biologic, growing large quantities of such cells, and harvesting and purifying the biologic produced by them. As a result, the cost to manufacture a biologic is generally far higher than traditional small molecule chemical compounds, and the biologics manufacturing process is less reliable and is difficult to reproduce.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20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in small and large quantities.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risks would apply to our internal manufacturing facilities, should we in the future decide to build internal manufacturing capacity. In addition, building internal manufacturing capacity would carry significant risks in terms of being able to plan, design and execute on a complex project to build manufacturing facilities in a timely and cost-efficient manner.</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foreign regulatory authority approval processes, and continuous oversight, and we will need to contract with manufacturers who can meet all applicable FDA, EMA and foreign regulatory authority requirements, including complying with current good manufacturing practices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2"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225" w:lineRule="exact"/>
        <w:rPr>
          <w:sz w:val="20"/>
          <w:szCs w:val="20"/>
          <w:color w:val="auto"/>
        </w:rPr>
      </w:pPr>
    </w:p>
    <w:p>
      <w:pPr>
        <w:ind w:left="900" w:right="80" w:hanging="244"/>
        <w:spacing w:after="0" w:line="292"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71" w:lineRule="exact"/>
        <w:rPr>
          <w:rFonts w:ascii="Arial" w:cs="Arial" w:eastAsia="Arial" w:hAnsi="Arial"/>
          <w:sz w:val="18"/>
          <w:szCs w:val="18"/>
          <w:color w:val="auto"/>
        </w:rPr>
      </w:pPr>
    </w:p>
    <w:p>
      <w:pPr>
        <w:ind w:left="900" w:right="140" w:hanging="244"/>
        <w:spacing w:after="0" w:line="292"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171" w:lineRule="exact"/>
        <w:rPr>
          <w:rFonts w:ascii="Arial" w:cs="Arial" w:eastAsia="Arial" w:hAnsi="Arial"/>
          <w:sz w:val="18"/>
          <w:szCs w:val="18"/>
          <w:color w:val="auto"/>
        </w:rPr>
      </w:pPr>
    </w:p>
    <w:p>
      <w:pPr>
        <w:ind w:left="900" w:right="60" w:hanging="244"/>
        <w:spacing w:after="0" w:line="292"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52" w:lineRule="exact"/>
        <w:rPr>
          <w:rFonts w:ascii="Arial" w:cs="Arial" w:eastAsia="Arial" w:hAnsi="Arial"/>
          <w:sz w:val="18"/>
          <w:szCs w:val="18"/>
          <w:color w:val="auto"/>
        </w:rPr>
      </w:pPr>
    </w:p>
    <w:p>
      <w:pPr>
        <w:ind w:left="900" w:right="280" w:hanging="244"/>
        <w:spacing w:after="0" w:line="292"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52"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286"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75"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252" w:lineRule="exact"/>
        <w:rPr>
          <w:rFonts w:ascii="Arial" w:cs="Arial" w:eastAsia="Arial" w:hAnsi="Arial"/>
          <w:sz w:val="18"/>
          <w:szCs w:val="18"/>
          <w:color w:val="auto"/>
        </w:rPr>
      </w:pPr>
    </w:p>
    <w:p>
      <w:pPr>
        <w:ind w:left="900" w:right="220" w:hanging="244"/>
        <w:spacing w:after="0" w:line="292"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253"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20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If any of our product candidates that are small molecules obtain regulatory approval, additional competitors could enter the market with generic versions of such drugs, which may result in a material decline in sales of affected products.</w:t>
      </w:r>
    </w:p>
    <w:p>
      <w:pPr>
        <w:spacing w:after="0" w:line="15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 generic copy of an approved, small molecule innovator product. Under the Hatch-Waxman Act, a manufacturer may also submit a new drug application, or NDA, under section 505(b)(2) that references the FDA’s prior approval of the small molecule innovator product. A 505(b)(2) NDA product may be for a new or improved version of the original innovator product. The Hatch-Waxman Act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20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Accordingly, if any of our small molecule product candidates are approved, competitors could file ANDAs for generic versions of our small molecule drug products or 505(b)(2) NDAs that reference our small molecule drug products, respectively. If there are patents listed for our small molecule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205"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 See “Risks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Our biologic, or large molecule, product candidates for which we intend to seek approval may face competition sooner than anticipated.</w:t>
      </w:r>
    </w:p>
    <w:p>
      <w:pPr>
        <w:spacing w:after="0" w:line="1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Even if we are successful in achieving regulatory approval to commercialize a product candidate faster than our competitors, our large molecule product candidates may face competition from biosimilar products. In the United States, our large molecule product candidates are regulated by the FDA as biologic products and we intend to seek approval for these product candidates pursuant to the biologics license application, or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large molecule product candidates.</w:t>
      </w:r>
    </w:p>
    <w:p>
      <w:pPr>
        <w:spacing w:after="0" w:line="210"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believe that any of our large molecule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0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get it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204"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If competitors are able to obtain marketing approval for biosimilars referencing our large molecule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33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ectPr>
          <w:pgSz w:w="11900" w:h="16838" w:orient="portrait"/>
          <w:cols w:equalWidth="0" w:num="1">
            <w:col w:w="11400"/>
          </w:cols>
          <w:pgMar w:left="240" w:top="4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Moreover, the FDA, EMA or other regulatory authorities may fail to approve companion diagnostics that we contemplate using with our therapeutic product candidates.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209"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Applications for our product candidates could fail to receive regulatory approval in an initial or subsequent indication for many reasons, including but not limited to the following:</w:t>
      </w:r>
    </w:p>
    <w:p>
      <w:pPr>
        <w:spacing w:after="0" w:line="145" w:lineRule="exact"/>
        <w:rPr>
          <w:sz w:val="20"/>
          <w:szCs w:val="20"/>
          <w:color w:val="auto"/>
        </w:rPr>
      </w:pPr>
    </w:p>
    <w:p>
      <w:pPr>
        <w:ind w:left="900" w:right="20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implementation or results of our clinical trials;</w:t>
      </w:r>
    </w:p>
    <w:p>
      <w:pPr>
        <w:spacing w:after="0" w:line="171" w:lineRule="exact"/>
        <w:rPr>
          <w:rFonts w:ascii="Arial" w:cs="Arial" w:eastAsia="Arial" w:hAnsi="Arial"/>
          <w:sz w:val="18"/>
          <w:szCs w:val="18"/>
          <w:color w:val="auto"/>
        </w:rPr>
      </w:pPr>
    </w:p>
    <w:p>
      <w:pPr>
        <w:ind w:left="900" w:right="200" w:hanging="244"/>
        <w:spacing w:after="0" w:line="271"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0" w:lineRule="exact"/>
        <w:rPr>
          <w:rFonts w:ascii="Arial" w:cs="Arial" w:eastAsia="Arial" w:hAnsi="Arial"/>
          <w:sz w:val="18"/>
          <w:szCs w:val="18"/>
          <w:color w:val="auto"/>
        </w:rPr>
      </w:pPr>
    </w:p>
    <w:p>
      <w:pPr>
        <w:ind w:left="900" w:right="6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171" w:lineRule="exact"/>
        <w:rPr>
          <w:rFonts w:ascii="Arial" w:cs="Arial" w:eastAsia="Arial" w:hAnsi="Arial"/>
          <w:sz w:val="18"/>
          <w:szCs w:val="18"/>
          <w:color w:val="auto"/>
        </w:rPr>
      </w:pPr>
    </w:p>
    <w:p>
      <w:pPr>
        <w:ind w:left="900" w:right="28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when compared to the standard of care is acceptable;</w:t>
      </w:r>
    </w:p>
    <w:p>
      <w:pPr>
        <w:spacing w:after="0" w:line="171" w:lineRule="exact"/>
        <w:rPr>
          <w:rFonts w:ascii="Arial" w:cs="Arial" w:eastAsia="Arial" w:hAnsi="Arial"/>
          <w:sz w:val="18"/>
          <w:szCs w:val="18"/>
          <w:color w:val="auto"/>
        </w:rPr>
      </w:pPr>
    </w:p>
    <w:p>
      <w:pPr>
        <w:ind w:left="900" w:right="18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1"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171" w:lineRule="exact"/>
        <w:rPr>
          <w:rFonts w:ascii="Arial" w:cs="Arial" w:eastAsia="Arial" w:hAnsi="Arial"/>
          <w:sz w:val="18"/>
          <w:szCs w:val="18"/>
          <w:color w:val="auto"/>
        </w:rPr>
      </w:pPr>
    </w:p>
    <w:p>
      <w:pPr>
        <w:ind w:left="900" w:right="32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171"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fail to approve the manufacturing processes, test procedures and specifications, or facilities of third-party manufacturers with which we contract for clinical and commercial supplies; and</w:t>
      </w:r>
    </w:p>
    <w:p>
      <w:pPr>
        <w:spacing w:after="0" w:line="171" w:lineRule="exact"/>
        <w:rPr>
          <w:rFonts w:ascii="Arial" w:cs="Arial" w:eastAsia="Arial" w:hAnsi="Arial"/>
          <w:sz w:val="18"/>
          <w:szCs w:val="18"/>
          <w:color w:val="auto"/>
        </w:rPr>
      </w:pPr>
    </w:p>
    <w:p>
      <w:pPr>
        <w:ind w:left="900" w:right="400" w:hanging="244"/>
        <w:spacing w:after="0" w:line="29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2" w:lineRule="exact"/>
        <w:rPr>
          <w:sz w:val="20"/>
          <w:szCs w:val="20"/>
          <w:color w:val="auto"/>
        </w:rPr>
      </w:pPr>
    </w:p>
    <w:p>
      <w:pPr>
        <w:ind w:right="200" w:firstLine="486"/>
        <w:spacing w:after="0" w:line="323"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27" w:right="29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80"/>
        <w:spacing w:after="0" w:line="30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56"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190"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Our most advanced product candidates, DNL201, DNL747 and DNL151 are currently our only clinical stage product candidates. DNL201 and DNL747 are in Phase 1b trials in patients, and DNL151 is in both a Phase 1 clinical trial in healthy volunteers and a Phase 1b clinical trial in patients. In trials to date, all three molecules have been well tolerated. Adverse events and other side effects may result from higher dosing, repeated dosing and/or longer-term exposure to DNL201, DNL747 and/or DNL151 and could lead to delays and/or termination of the development of these product candidates.</w:t>
      </w:r>
    </w:p>
    <w:p>
      <w:pPr>
        <w:spacing w:after="0" w:line="202"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In 2016, we initiated a Phase 1 clinical trial in a former RIPK1 inhibitor product candidate, DNL104, which we subsequently discontinued based on liver function test abnormalities in some clinical trial healthy volunteer participants.</w:t>
      </w:r>
    </w:p>
    <w:p>
      <w:pPr>
        <w:spacing w:after="0" w:line="17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Drug-related side effects could affect patient recruitment, the ability of enrolled patients to complete the study, and/or result in potential product liability claims. We are required to maintain product liability insurance pursuant to certain of our license agreements.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209" w:lineRule="exact"/>
        <w:rPr>
          <w:sz w:val="20"/>
          <w:szCs w:val="20"/>
          <w:color w:val="auto"/>
        </w:rPr>
      </w:pPr>
    </w:p>
    <w:p>
      <w:pPr>
        <w:jc w:val="both"/>
        <w:ind w:firstLine="486"/>
        <w:spacing w:after="0" w:line="323"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22"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cause us to recall our product;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52" w:lineRule="exact"/>
        <w:rPr>
          <w:rFonts w:ascii="Arial" w:cs="Arial" w:eastAsia="Arial" w:hAnsi="Arial"/>
          <w:sz w:val="18"/>
          <w:szCs w:val="18"/>
          <w:color w:val="auto"/>
        </w:rPr>
      </w:pPr>
    </w:p>
    <w:p>
      <w:pPr>
        <w:ind w:left="900" w:right="120" w:hanging="244"/>
        <w:spacing w:after="0" w:line="271"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such as boxed warning on the packaging, to assure safe use;</w:t>
      </w:r>
    </w:p>
    <w:p>
      <w:pPr>
        <w:spacing w:after="0" w:line="190"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EMA and applicable foreign regulatory authorities may not accept data from such trials.</w:t>
      </w:r>
    </w:p>
    <w:p>
      <w:pPr>
        <w:spacing w:after="0" w:line="15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may in the future choose to conduct one or more of our clinical trials outside the United States, including in Europe. The acceptance of study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88" w:lineRule="exact"/>
        <w:rPr>
          <w:sz w:val="20"/>
          <w:szCs w:val="20"/>
          <w:color w:val="auto"/>
        </w:rPr>
      </w:pPr>
    </w:p>
    <w:p>
      <w:pPr>
        <w:ind w:right="960"/>
        <w:spacing w:after="0" w:line="30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25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2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21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170"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products; and/or</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78"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b w:val="1"/>
          <w:bCs w:val="1"/>
          <w:i w:val="1"/>
          <w:iCs w:val="1"/>
          <w:color w:val="auto"/>
        </w:rPr>
        <w:t>We plan to seek orphan drug designation for some product candidates, but we may be unable to obtain such designations or to maintain the benefits associated with orphan drug status, including market exclusivity, which may cause our revenue, if any, to be reduced.</w:t>
      </w:r>
    </w:p>
    <w:p>
      <w:pPr>
        <w:spacing w:after="0" w:line="177" w:lineRule="exact"/>
        <w:rPr>
          <w:sz w:val="20"/>
          <w:szCs w:val="20"/>
          <w:color w:val="auto"/>
        </w:rPr>
      </w:pPr>
    </w:p>
    <w:p>
      <w:pPr>
        <w:ind w:firstLine="486"/>
        <w:spacing w:after="0" w:line="239"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In June 2019, the FDA granted orphan drug designation for our DNL310 program in Hunter syndrome. We plan to seek orphan drug designations for some other product candidates and may be unable to obtain such designations.</w:t>
      </w:r>
    </w:p>
    <w:p>
      <w:pPr>
        <w:spacing w:after="0" w:line="208" w:lineRule="exact"/>
        <w:rPr>
          <w:sz w:val="20"/>
          <w:szCs w:val="20"/>
          <w:color w:val="auto"/>
        </w:rPr>
      </w:pPr>
    </w:p>
    <w:p>
      <w:pPr>
        <w:ind w:right="40" w:firstLine="486"/>
        <w:spacing w:after="0"/>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NDA or BLA applications to market the same drug or biologic for the same indication for seven years, except in limited circumstances such as a showing of clinical superiority to the product with orphan exclusivity or if FDA finds that the holder of the orphan exclusivity has not shown that it can assure the availability of sufficient quantities of the orphan product to meet the needs of patients with the disease or condition for which the drug was designated. As a result, even though DNL310 has been granted orphan drug designation and even if one of our product candidates receives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289"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1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will remain in effect through 2025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70"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283"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27" w:right="2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We have adopted a code of business conduct and ethics,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156" w:lineRule="exact"/>
        <w:rPr>
          <w:sz w:val="20"/>
          <w:szCs w:val="20"/>
          <w:color w:val="auto"/>
        </w:rPr>
      </w:pPr>
    </w:p>
    <w:p>
      <w:pPr>
        <w:ind w:right="740" w:firstLine="486"/>
        <w:spacing w:after="0" w:line="292"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w:t>
      </w:r>
    </w:p>
    <w:p>
      <w:pPr>
        <w:spacing w:after="0" w:line="145" w:lineRule="exact"/>
        <w:rPr>
          <w:sz w:val="20"/>
          <w:szCs w:val="20"/>
          <w:color w:val="auto"/>
        </w:rPr>
      </w:pPr>
    </w:p>
    <w:p>
      <w:pPr>
        <w:ind w:left="900" w:hanging="244"/>
        <w:spacing w:after="0" w:line="256"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205" w:lineRule="exact"/>
        <w:rPr>
          <w:rFonts w:ascii="Arial" w:cs="Arial" w:eastAsia="Arial" w:hAnsi="Arial"/>
          <w:sz w:val="18"/>
          <w:szCs w:val="18"/>
          <w:color w:val="auto"/>
        </w:rPr>
      </w:pPr>
    </w:p>
    <w:p>
      <w:pPr>
        <w:ind w:left="900" w:hanging="244"/>
        <w:spacing w:after="0" w:line="258"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180" w:hanging="244"/>
        <w:spacing w:after="0" w:line="258"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204" w:lineRule="exact"/>
        <w:rPr>
          <w:rFonts w:ascii="Arial" w:cs="Arial" w:eastAsia="Arial" w:hAnsi="Arial"/>
          <w:sz w:val="18"/>
          <w:szCs w:val="18"/>
          <w:color w:val="auto"/>
        </w:rPr>
      </w:pPr>
    </w:p>
    <w:p>
      <w:pPr>
        <w:ind w:left="900" w:right="160" w:hanging="244"/>
        <w:spacing w:after="0" w:line="26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202" w:lineRule="exact"/>
        <w:rPr>
          <w:rFonts w:ascii="Arial" w:cs="Arial" w:eastAsia="Arial" w:hAnsi="Arial"/>
          <w:sz w:val="18"/>
          <w:szCs w:val="18"/>
          <w:color w:val="auto"/>
        </w:rPr>
      </w:pPr>
    </w:p>
    <w:p>
      <w:pPr>
        <w:ind w:left="900" w:right="180" w:hanging="244"/>
        <w:spacing w:after="0" w:line="26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202" w:lineRule="exact"/>
        <w:rPr>
          <w:rFonts w:ascii="Arial" w:cs="Arial" w:eastAsia="Arial" w:hAnsi="Arial"/>
          <w:sz w:val="18"/>
          <w:szCs w:val="18"/>
          <w:color w:val="auto"/>
        </w:rPr>
      </w:pPr>
    </w:p>
    <w:p>
      <w:pPr>
        <w:ind w:left="900" w:right="80" w:hanging="244"/>
        <w:spacing w:after="0" w:line="292"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1" w:lineRule="exact"/>
        <w:rPr>
          <w:rFonts w:ascii="Arial" w:cs="Arial" w:eastAsia="Arial" w:hAnsi="Arial"/>
          <w:sz w:val="18"/>
          <w:szCs w:val="18"/>
          <w:color w:val="auto"/>
        </w:rPr>
      </w:pPr>
    </w:p>
    <w:p>
      <w:pPr>
        <w:ind w:left="900" w:hanging="244"/>
        <w:spacing w:after="0" w:line="255"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91"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177" w:lineRule="exact"/>
        <w:rPr>
          <w:sz w:val="20"/>
          <w:szCs w:val="20"/>
          <w:color w:val="auto"/>
        </w:rPr>
      </w:pPr>
    </w:p>
    <w:p>
      <w:pPr>
        <w:ind w:right="140" w:firstLine="486"/>
        <w:spacing w:after="0" w:line="238" w:lineRule="auto"/>
        <w:rPr>
          <w:sz w:val="20"/>
          <w:szCs w:val="20"/>
          <w:color w:val="auto"/>
        </w:rPr>
      </w:pPr>
      <w:r>
        <w:rPr>
          <w:rFonts w:ascii="Arial" w:cs="Arial" w:eastAsia="Arial" w:hAnsi="Arial"/>
          <w:sz w:val="18"/>
          <w:szCs w:val="18"/>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For example, the European Union General Data Protection Regulation, or GDPR, which became fully effective on May 25, 2018, imposes stringent data protection requirements and provides for penalties for noncompliance of up to the greater of €20 million or four percent of worldwide annual revenues. Additionally, California recently enacted legislation, the California Consumer Privacy Act, or CCPA, that will, among other things, require covered companies to provide new disclosures to California consumers, and afford such consumers new abilities to opt-out of certain sales of personal information, when it goes into effect on January 1, 2020. The CCPA was amended in September 2018, and it is unclear whether further modifications will be made to this legislation or how it will be interpreted. The GDPR, CCPA and many other laws and regulations relating to privacy and data protection are still being tested in courts, and they are subject to new and differing interpretations by courts and regulatory officials. We are working to comply with the GDPR, CCPA and other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206"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fines,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7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growth prospects.</w:t>
      </w:r>
    </w:p>
    <w:p>
      <w:pPr>
        <w:spacing w:after="0" w:line="155"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or FCPA, and similar anti-bribery and anti-corruption laws, as well as U.S. and certain foreign export controls, trade sanctions, and import laws and regulations.</w:t>
      </w:r>
    </w:p>
    <w:p>
      <w:pPr>
        <w:spacing w:after="0" w:line="15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In addition, in the future once we enter a commercialization phase,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w:t>
      </w:r>
    </w:p>
    <w:p>
      <w:pPr>
        <w:ind w:right="140"/>
        <w:spacing w:after="0" w:line="252" w:lineRule="auto"/>
        <w:rPr>
          <w:sz w:val="20"/>
          <w:szCs w:val="20"/>
          <w:color w:val="auto"/>
        </w:rPr>
      </w:pPr>
      <w:r>
        <w:rPr>
          <w:rFonts w:ascii="Arial" w:cs="Arial" w:eastAsia="Arial" w:hAnsi="Arial"/>
          <w:sz w:val="18"/>
          <w:szCs w:val="18"/>
          <w:color w:val="auto"/>
        </w:rPr>
        <w:t>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our products to existing or potential customers with international operations. Any limitation on our ability to export or sell access to our products would likely adversely affect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33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anticipate seeking third-party collaborators for the research, development, and commercialization of certain of the product candidates we may develop. For example, we have collaborations with F-star, Takeda, Sanofi and others, to further our development of product candidates and to enhance our research efforts directed to better understanding neurodegenerative diseases.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225" w:lineRule="exact"/>
        <w:rPr>
          <w:sz w:val="20"/>
          <w:szCs w:val="20"/>
          <w:color w:val="auto"/>
        </w:rPr>
      </w:pPr>
    </w:p>
    <w:p>
      <w:pPr>
        <w:ind w:left="900" w:right="1180" w:hanging="244"/>
        <w:spacing w:after="0" w:line="292"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900" w:right="20" w:hanging="244"/>
        <w:spacing w:after="0" w:line="264"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196" w:lineRule="exact"/>
        <w:rPr>
          <w:rFonts w:ascii="Arial" w:cs="Arial" w:eastAsia="Arial" w:hAnsi="Arial"/>
          <w:sz w:val="18"/>
          <w:szCs w:val="18"/>
          <w:color w:val="auto"/>
        </w:rPr>
      </w:pPr>
    </w:p>
    <w:p>
      <w:pPr>
        <w:ind w:left="900" w:right="100" w:hanging="244"/>
        <w:spacing w:after="0" w:line="271"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190" w:lineRule="exact"/>
        <w:rPr>
          <w:rFonts w:ascii="Arial" w:cs="Arial" w:eastAsia="Arial" w:hAnsi="Arial"/>
          <w:sz w:val="18"/>
          <w:szCs w:val="18"/>
          <w:color w:val="auto"/>
        </w:rPr>
      </w:pPr>
    </w:p>
    <w:p>
      <w:pPr>
        <w:ind w:left="900" w:right="40" w:hanging="244"/>
        <w:spacing w:after="0" w:line="292"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44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on our ability to obtain and maintain regulatory approval of our products candidates;</w:t>
      </w:r>
    </w:p>
    <w:p>
      <w:pPr>
        <w:spacing w:after="0" w:line="171" w:lineRule="exact"/>
        <w:rPr>
          <w:rFonts w:ascii="Arial" w:cs="Arial" w:eastAsia="Arial" w:hAnsi="Arial"/>
          <w:sz w:val="18"/>
          <w:szCs w:val="18"/>
          <w:color w:val="auto"/>
        </w:rPr>
      </w:pPr>
    </w:p>
    <w:p>
      <w:pPr>
        <w:jc w:val="both"/>
        <w:ind w:left="900" w:right="720" w:hanging="244"/>
        <w:spacing w:after="0" w:line="27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190" w:lineRule="exact"/>
        <w:rPr>
          <w:rFonts w:ascii="Arial" w:cs="Arial" w:eastAsia="Arial" w:hAnsi="Arial"/>
          <w:sz w:val="18"/>
          <w:szCs w:val="18"/>
          <w:color w:val="auto"/>
        </w:rPr>
      </w:pPr>
    </w:p>
    <w:p>
      <w:pPr>
        <w:ind w:left="900" w:right="100" w:hanging="244"/>
        <w:spacing w:after="0" w:line="27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90" w:lineRule="exact"/>
        <w:rPr>
          <w:rFonts w:ascii="Arial" w:cs="Arial" w:eastAsia="Arial" w:hAnsi="Arial"/>
          <w:sz w:val="18"/>
          <w:szCs w:val="18"/>
          <w:color w:val="auto"/>
        </w:rPr>
      </w:pPr>
    </w:p>
    <w:p>
      <w:pPr>
        <w:ind w:left="900" w:right="4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8"/>
          <w:szCs w:val="18"/>
          <w:color w:val="auto"/>
        </w:rPr>
      </w:pPr>
    </w:p>
    <w:p>
      <w:pPr>
        <w:jc w:val="both"/>
        <w:ind w:left="900" w:right="60" w:hanging="244"/>
        <w:spacing w:after="0" w:line="27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190" w:lineRule="exact"/>
        <w:rPr>
          <w:rFonts w:ascii="Arial" w:cs="Arial" w:eastAsia="Arial" w:hAnsi="Arial"/>
          <w:sz w:val="18"/>
          <w:szCs w:val="18"/>
          <w:color w:val="auto"/>
        </w:rPr>
      </w:pPr>
    </w:p>
    <w:p>
      <w:pPr>
        <w:ind w:left="900" w:right="74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171" w:lineRule="exact"/>
        <w:rPr>
          <w:rFonts w:ascii="Arial" w:cs="Arial" w:eastAsia="Arial" w:hAnsi="Arial"/>
          <w:sz w:val="18"/>
          <w:szCs w:val="18"/>
          <w:color w:val="auto"/>
        </w:rPr>
      </w:pPr>
    </w:p>
    <w:p>
      <w:pPr>
        <w:ind w:left="900" w:right="32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252"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171" w:lineRule="exact"/>
        <w:rPr>
          <w:rFonts w:ascii="Arial" w:cs="Arial" w:eastAsia="Arial" w:hAnsi="Arial"/>
          <w:sz w:val="18"/>
          <w:szCs w:val="18"/>
          <w:color w:val="auto"/>
        </w:rPr>
      </w:pPr>
    </w:p>
    <w:p>
      <w:pPr>
        <w:ind w:left="900" w:right="100" w:hanging="244"/>
        <w:spacing w:after="0" w:line="27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190" w:lineRule="exact"/>
        <w:rPr>
          <w:rFonts w:ascii="Arial" w:cs="Arial" w:eastAsia="Arial" w:hAnsi="Arial"/>
          <w:sz w:val="18"/>
          <w:szCs w:val="18"/>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252"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171" w:lineRule="exact"/>
        <w:rPr>
          <w:rFonts w:ascii="Arial" w:cs="Arial" w:eastAsia="Arial" w:hAnsi="Arial"/>
          <w:sz w:val="18"/>
          <w:szCs w:val="18"/>
          <w:color w:val="auto"/>
        </w:rPr>
      </w:pPr>
    </w:p>
    <w:p>
      <w:pPr>
        <w:ind w:left="900" w:right="40" w:hanging="244"/>
        <w:spacing w:after="0" w:line="292"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171" w:lineRule="exact"/>
        <w:rPr>
          <w:rFonts w:ascii="Arial" w:cs="Arial" w:eastAsia="Arial" w:hAnsi="Arial"/>
          <w:sz w:val="18"/>
          <w:szCs w:val="18"/>
          <w:color w:val="auto"/>
        </w:rPr>
      </w:pPr>
    </w:p>
    <w:p>
      <w:pPr>
        <w:ind w:left="900" w:right="100" w:hanging="244"/>
        <w:spacing w:after="0" w:line="271"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60" w:hanging="244"/>
        <w:spacing w:after="0" w:line="271"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including our BBB platform technology; and</w:t>
      </w:r>
    </w:p>
    <w:p>
      <w:pPr>
        <w:spacing w:after="0" w:line="190" w:lineRule="exact"/>
        <w:rPr>
          <w:rFonts w:ascii="Arial" w:cs="Arial" w:eastAsia="Arial" w:hAnsi="Arial"/>
          <w:sz w:val="18"/>
          <w:szCs w:val="18"/>
          <w:color w:val="auto"/>
        </w:rPr>
      </w:pPr>
    </w:p>
    <w:p>
      <w:pPr>
        <w:jc w:val="both"/>
        <w:ind w:left="900" w:right="160" w:hanging="244"/>
        <w:spacing w:after="0" w:line="271"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19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286"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56"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a government-sponsored database within certain time frames. Failure to do so can result in fines, adverse publicity, and civil and criminal sanctions.</w:t>
      </w:r>
    </w:p>
    <w:p>
      <w:pPr>
        <w:spacing w:after="0" w:line="204"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9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product revenue.</w:t>
      </w:r>
    </w:p>
    <w:p>
      <w:pPr>
        <w:spacing w:after="0" w:line="2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89" w:lineRule="exact"/>
        <w:rPr>
          <w:sz w:val="20"/>
          <w:szCs w:val="20"/>
          <w:color w:val="auto"/>
        </w:rPr>
      </w:pPr>
    </w:p>
    <w:p>
      <w:pPr>
        <w:jc w:val="both"/>
        <w:ind w:right="480" w:firstLine="486"/>
        <w:spacing w:after="0" w:line="271" w:lineRule="auto"/>
        <w:rPr>
          <w:sz w:val="20"/>
          <w:szCs w:val="20"/>
          <w:color w:val="auto"/>
        </w:rPr>
      </w:pPr>
      <w:r>
        <w:rPr>
          <w:rFonts w:ascii="Arial" w:cs="Arial" w:eastAsia="Arial" w:hAnsi="Arial"/>
          <w:sz w:val="18"/>
          <w:szCs w:val="18"/>
          <w:color w:val="auto"/>
        </w:rPr>
        <w:t>We do not have any manufacturing facilities. We currently rely on third-party manufacturers for the manufacture of our materials for preclinical studies and clinical trials and expect to continue to do so for preclinical studies, clinical trials and for commercial supply of any product candidates that we may develop.</w:t>
      </w:r>
    </w:p>
    <w:p>
      <w:pPr>
        <w:spacing w:after="0" w:line="190"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172"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w:t>
      </w:r>
    </w:p>
    <w:p>
      <w:pPr>
        <w:spacing w:after="0" w:line="230" w:lineRule="exact"/>
        <w:rPr>
          <w:sz w:val="20"/>
          <w:szCs w:val="20"/>
          <w:color w:val="auto"/>
        </w:rPr>
      </w:pPr>
    </w:p>
    <w:p>
      <w:pPr>
        <w:ind w:right="200" w:firstLine="486"/>
        <w:spacing w:after="0" w:line="260"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202"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271"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harm our business.</w:t>
      </w:r>
    </w:p>
    <w:p>
      <w:pPr>
        <w:spacing w:after="0" w:line="1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35"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BBB platform technology, our competitors could develop and commercialize products or technology similar or identical to ours, and our ability to successfully commercialize any product candidates we may develop, and our technology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BBB platform technology and any proprietary product candidates and other technologies we may develop. We seek to protect our proprietary position by in-licensing intellectual property and filing patent applications in the United States and abroad relating to our BBB platform technology, core programs and product candidates, as well as other technologies that are important to our business. Given that the development of our technology and product candidates is at an early stage, our intellectual property portfolio with respect to certain aspects of our technology and product candidates is also at an early stage. For example, as of September 30, 2019, we do not own or in-license any issued patents in the United States directed to the composition of matter of any of the antibodies or enzymes that we have thus far developed using our BBB platform technology. In addition, we do not own or in-license any issued United States patents covering the composition of matter of the Fc domain portion of our BBB platform technology that binds to transferrin receptor, or any issued United States patents that cover the composition of matter of antibodies or enzymes being developed in our TREM2, aSyn, Tau or IDS core programs. We have filed or intend to file patent applications on these aspects of our technology and core product candidates; however, there can be no assurance that any such patent applications will issue as granted patents. Furthermore, in some cases, we have only filed provisional patent applications on certain aspects of our technology and product candidates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BBB platform technology, core programs and product candidates, as well as other technologies that are important to our business, and instead may need to rely on filing patent applications with claims covering a method of use and/or method of manufacture for protection of such BBB platform technology,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BBB platform technology, core programs and product candidates could have a material adverse effect on our business, financial condition, results of operations and growth prospects.</w:t>
      </w:r>
    </w:p>
    <w:p>
      <w:pPr>
        <w:spacing w:after="0" w:line="295"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If any of our owned or in-licensed patent applications do not issue as patents in any jurisdiction, we may not be able to compete effectively.</w:t>
      </w:r>
    </w:p>
    <w:p>
      <w:pPr>
        <w:spacing w:after="0" w:line="156"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88"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156"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or in-licensed pending and future patent applications may not result in patents being issued which protect our BBB platform technology, product candidates or other technologies or which effectively prevent others from commercializing competitive technologies and product candidates.</w:t>
      </w:r>
    </w:p>
    <w:p>
      <w:pPr>
        <w:spacing w:after="0" w:line="20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BBB platform technology,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37"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may be challenged in the courts or patent offices in the United States and abroad. We or our licensors may be subject to a third-party preissuance submission of prior art to the United States Patent and Trademark Office, or USPTO, or become involved in opposition, derivation, revocation, reexamination, post-grant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similar proceedings challenging our owned or licensed patent rights. An adverse determination in any such submission, proceeding or litigation could reduce the scope of, or invalidate or render unenforceable, our owned or in-licensed patent rights, allow third parties to commercialize our BBB platform technology, product candidates or other technologies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BBB platform technology,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20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9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Some of our owned and in-licensed patents and patent applications are, and may in the future be, co-owned with third parties. For example, we currently, and may in the future, co-own certain patents and patent applications relating to our BBB platform technology with F-star.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spacing w:after="0" w:line="291"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Our rights to develop and commercialize our BBB platform technology and product candidates are subject, in part, to the terms and conditions of licenses granted to us by others.</w:t>
      </w:r>
    </w:p>
    <w:p>
      <w:pPr>
        <w:spacing w:after="0" w:line="15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are heavily reliant upon licenses to certain patent rights and proprietary technology from third parties that are important or necessary to the development of our BBB platform technology and product candidates. For example, in June 2016, we entered into a license agreement with Genentech pursuant to which we received an exclusive license to certain of Genentech’s intellectual property relating to our LRRK2 program, including our DNL201 and DNL151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Our agreements with F-star and other license agreements may not provide exclusive rights to use certain licensed intellectual property and technology in all relevant fields of use and in all territories in which we may wish to develop or commercialize our technology and products in the future. For example, F-star retains the right to use itself, and to license to others, its modular antibody technology for any purpose other than the targets and antibodies which we have agreed with F-star would or may be exclusively available to us. As a result, we may not be able to prevent competitors or other third parties from developing and commercializing competitive products that also utilizes technology that we have in-licensed.</w:t>
      </w:r>
    </w:p>
    <w:p>
      <w:pPr>
        <w:spacing w:after="0" w:line="2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For example, under our agreements with F-star and Genentech, the licensors control prosecution and, in the case of F-star and in specified circumstances, enforcement of certain of the patents and patent applications licensed to us. Also, under our agreement with Sanofi, they control prosecution, and in specified circumstances, enforcement of certain of the patents and patent applications licensed to them.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our BBB platform technology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1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Furthermore, our owned and in-licensed patents may be subject to a reservation of rights by one or more third parties. For example, our license to certain intellectual property owned by Genentech is subject to certain research rights Genentech granted to third parties prior to our license agreement. In addition, certain of our in-licensed intellectual property relating to RIPK1 was funded in part by the U.S. government. As a result, the U.S. government may have certain rights to such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growth prospects.</w:t>
      </w:r>
    </w:p>
    <w:p>
      <w:pPr>
        <w:spacing w:after="0" w:line="29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entered into license agreements with third parties and may need to obtain additional licenses from others to advance our research or allow commercialization of product candidates we may develop or our BBB platform technology. It is possible that we may be unable to obtain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BBB platform technology, which could harm our business, financial condition, results of operations and growth prospects significantly. We cannot provide any assurances that third-party patents do not exist which might be enforced against our current technology, including our BBB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0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our current BBB platform technology. Any of the foregoing could have a material adverse effect on our competitive position, business, financial conditions, results of operations and growth prospects.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252"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900" w:right="340" w:hanging="244"/>
        <w:spacing w:after="0" w:line="292"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5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Filing, prosecuting, and defending patents on our BBB platform technology, product candidates and other technologies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5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3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BBB platform technology, product candidates or other technologies or (ii) invent any of the inventions claimed in our or our licensor’s patents or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Although the evidentiary standards in USPTO proceedings compared to United States federal courts is supposed to follow the same legal standards set in recent federal court rulings, we cannot guarantee that the USPTO will not use a different evidentiary standard, or that the USPTO judges will not view facts differently than a federal court judge or jury might view facts, to invalidate a patent claim, and a third-party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growth prospects.</w:t>
      </w:r>
    </w:p>
    <w:p>
      <w:pPr>
        <w:spacing w:after="0" w:line="21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86"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Issued patents covering our BBB platform technology, product candidates and other technologies could be found invalid or unenforceable if challenged in court or before administrative bodies in the United States or abroad.</w:t>
      </w:r>
    </w:p>
    <w:p>
      <w:pPr>
        <w:spacing w:after="0" w:line="1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If we or one of our licensors initiated legal proceedings against a third party to enforce a patent covering our BBB platform technology, product candidates or other technologies, the defendant could counterclaim that such patent is invalid or unenforceable or raise a defense to infringement. In patent litigation in the United States, defendant counterclaims alleging invalidity or unenforceability are commonplace. Grounds for a validity challenge could be an alleged failure to meet any of several statutory requirements, including lack of subject matter eligibility for patenting, novelty, obviousness, or non-enablement. Grounds for an unenforceability assertion could be an allegation that someone connected with prosecution of the patent withheld relevant information from the USPTO, or made a misleading statement, during prosecution. Grounds for defenses to infringement include statutory exemptions to patent infringement for uses related to submitting information to regulatory authorities to seek certain regulatory approvals. Third parties may raise claims challenging the validity or enforceability of our owned or in-licensed patents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BBB platform technology, product candidates or other technologies. The outcome following legal assertions of invalidity and unenforceability is unpredictable. With respect to the validity question, for example, we cannot be certain that a judge or jury wouldn't find that our patent claims laws of nature or are otherwise ineligible for patenting, or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BBB platform technology, product candidates or other technologies. Such a loss of patent protection would have a material adverse impact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1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prospects could be materially harmed.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BBB platform technology, product candidates or other technologies.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BBB platform technology,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52"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In addition to seeking patents for our BBB platform technology, product candidates and other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27" w:right="31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5"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auto"/>
        </w:rPr>
        <w:t>We may not be successful in obtaining, through acquisitions, in-licenses or otherwise, necessary rights to our BBB platform technology, product candidates or other technologies.</w:t>
      </w:r>
    </w:p>
    <w:p>
      <w:pPr>
        <w:spacing w:after="0" w:line="1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currently have rights to intellectual property, through licenses from third parties, to identify and develop our BBB platform technology and product candidates. Many pharmaceutical companies, biotechnology companies, and academic institutions are competing with us in the field of neurodegeneration and BBB technology and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BBB technologies that we are evaluating for use with our current or future product candidates.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our current or future product candidates and our BBB platform technology.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288"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licensors,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spacing w:after="0" w:line="28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Third party claims of intellectual property infringement, misappropriation or other violation against us, our licensors or our collaborators may prevent or delay the development and commercialization of our BBB platform technology, product candidates and other technologies.</w:t>
      </w:r>
    </w:p>
    <w:p>
      <w:pPr>
        <w:spacing w:after="0" w:line="177" w:lineRule="exact"/>
        <w:rPr>
          <w:sz w:val="20"/>
          <w:szCs w:val="20"/>
          <w:color w:val="auto"/>
        </w:rPr>
      </w:pPr>
    </w:p>
    <w:p>
      <w:pPr>
        <w:ind w:right="60" w:firstLine="486"/>
        <w:spacing w:after="0" w:line="284" w:lineRule="auto"/>
        <w:rPr>
          <w:sz w:val="20"/>
          <w:szCs w:val="20"/>
          <w:color w:val="auto"/>
        </w:rPr>
      </w:pPr>
      <w:r>
        <w:rPr>
          <w:rFonts w:ascii="Arial" w:cs="Arial" w:eastAsia="Arial" w:hAnsi="Arial"/>
          <w:sz w:val="17"/>
          <w:szCs w:val="17"/>
          <w:color w:val="auto"/>
        </w:rPr>
        <w:t>The field of discovering treatments for neurodegenerative diseases, especially using BBB technology, is highly competitive and dynamic. Due to the focused research and development that is taking place by several companies, including us and our competitors, in this field, the intellectual property landscape is in flux, and it may remain uncertain in the future. As such, there may be significant intellectual property litigation and proceedings relating to our owned and in-licensed, and other third-party intellectual property and proprietary rights in the future.</w:t>
      </w:r>
    </w:p>
    <w:p>
      <w:pPr>
        <w:spacing w:after="0" w:line="18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 xml:space="preserve">Our commercial success depends in part on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post-grant review have been implemented. As stated above, this reform adds uncertainty to the possibility of challenge to our patents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relating to BBB technology and in the fields in which we are developing our product candidates. As the biotechnology and pharmaceutical industries expand and more patents are issued, the risk increases that our BBB platform technology, product candidates and other technologies may give rise to claims of infringement of the patent rights of others. We cannot assure you that our BBB platform technology, product candidates and other technologies that we have developed, are developing or may develop in the future will not infringe existing or future patents owned by third parties. We may not be aware of patents that have already been issued and that a third party, for example, a competitor in the fields in which we are developing our BBB platform technology, product candidates, and other technologies might assert are infringed by our current or future BBB platform technology, product candidates or other technologies, including claims to compositions, formulations, methods of manufacture or methods of use or treatment that cover our BBB platform technology, product candidates or other technologies. It is also possible that patents owned by third parties of which we are aware, but which we do not believe are relevant to our BBB platform technology, product candidates or other technologies, could be found to be infringed by our BBB platform technology, product candidates or other technologies. In addition, because patent applications can take many years to issue, there may be currently pending patent applications that may later result in issued patents that our BBB platform technology, product candidates or other technologies may infringe.</w:t>
      </w:r>
    </w:p>
    <w:p>
      <w:pPr>
        <w:spacing w:after="0" w:line="20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Third parties may have patents or obtain patents in the future and claim that the manufacture, use or sale of our BBB platform technology, product candidates or other technologies infringes upon these patents. 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w:t>
      </w:r>
    </w:p>
    <w:p>
      <w:pPr>
        <w:spacing w:after="0" w:line="3" w:lineRule="exact"/>
        <w:rPr>
          <w:sz w:val="20"/>
          <w:szCs w:val="20"/>
          <w:color w:val="auto"/>
        </w:rPr>
      </w:pPr>
    </w:p>
    <w:p>
      <w:pPr>
        <w:ind w:right="80" w:firstLine="8"/>
        <w:spacing w:after="0" w:line="252"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platform technology, product candidates or other technologies. In this case, the holders of such patents may be able to block our ability to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BBB platform technology, product candidates or other technologies, or such commercialization efforts may be significantly delayed, which could in turn significantly harm our business.</w:t>
      </w:r>
    </w:p>
    <w:p>
      <w:pPr>
        <w:spacing w:after="0" w:line="21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BBB platform technology,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BBB platform technology, product candidates or other technologies, which could harm our business significantly.</w:t>
      </w:r>
    </w:p>
    <w:p>
      <w:pPr>
        <w:spacing w:after="0" w:line="20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or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Competitors may infringe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90"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2" w:lineRule="exact"/>
        <w:rPr>
          <w:sz w:val="20"/>
          <w:szCs w:val="20"/>
          <w:color w:val="auto"/>
        </w:rPr>
      </w:pPr>
    </w:p>
    <w:p>
      <w:pPr>
        <w:ind w:left="900" w:right="80" w:hanging="244"/>
        <w:spacing w:after="0" w:line="292"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right="260" w:hanging="244"/>
        <w:spacing w:after="0" w:line="292"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71" w:lineRule="exact"/>
        <w:rPr>
          <w:rFonts w:ascii="Arial" w:cs="Arial" w:eastAsia="Arial" w:hAnsi="Arial"/>
          <w:sz w:val="18"/>
          <w:szCs w:val="18"/>
          <w:color w:val="auto"/>
        </w:rPr>
      </w:pPr>
    </w:p>
    <w:p>
      <w:pPr>
        <w:ind w:left="900" w:right="40" w:hanging="244"/>
        <w:spacing w:after="0" w:line="292"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900" w:right="400" w:hanging="244"/>
        <w:spacing w:after="0" w:line="292"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252" w:lineRule="exact"/>
        <w:rPr>
          <w:rFonts w:ascii="Arial" w:cs="Arial" w:eastAsia="Arial" w:hAnsi="Arial"/>
          <w:sz w:val="18"/>
          <w:szCs w:val="18"/>
          <w:color w:val="auto"/>
        </w:rPr>
      </w:pPr>
    </w:p>
    <w:p>
      <w:pPr>
        <w:ind w:left="900" w:right="820" w:hanging="244"/>
        <w:spacing w:after="0" w:line="292"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71" w:lineRule="exact"/>
        <w:rPr>
          <w:rFonts w:ascii="Arial" w:cs="Arial" w:eastAsia="Arial" w:hAnsi="Arial"/>
          <w:sz w:val="18"/>
          <w:szCs w:val="18"/>
          <w:color w:val="auto"/>
        </w:rPr>
      </w:pPr>
    </w:p>
    <w:p>
      <w:pPr>
        <w:ind w:left="900" w:right="140" w:hanging="244"/>
        <w:spacing w:after="0" w:line="271"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90" w:lineRule="exact"/>
        <w:rPr>
          <w:rFonts w:ascii="Arial" w:cs="Arial" w:eastAsia="Arial" w:hAnsi="Arial"/>
          <w:sz w:val="18"/>
          <w:szCs w:val="18"/>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52" w:lineRule="exact"/>
        <w:rPr>
          <w:rFonts w:ascii="Arial" w:cs="Arial" w:eastAsia="Arial" w:hAnsi="Arial"/>
          <w:sz w:val="18"/>
          <w:szCs w:val="18"/>
          <w:color w:val="auto"/>
        </w:rPr>
      </w:pPr>
    </w:p>
    <w:p>
      <w:pPr>
        <w:ind w:left="900" w:right="60" w:hanging="244"/>
        <w:spacing w:after="0" w:line="292"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5"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growth prospects.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335"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6"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Ryan Watts,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conduct our operations at our facility in South San Francisco,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27" w:right="29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restricted stock and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and incentivize quality personnel on acceptable terms, or at all, it may cause our business and operating results to suffer.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252"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8"/>
          <w:szCs w:val="18"/>
          <w:color w:val="auto"/>
        </w:rPr>
        <w:t>As of September 30, 2019, we had over 255 employees, all of whom were full-time. As our development plans and strategies develop, we must add a significant number of additional managerial, operational, financial, and other personnel. Future growth will impose significant added responsibilities on members of management, including:</w:t>
      </w:r>
    </w:p>
    <w:p>
      <w:pPr>
        <w:spacing w:after="0" w:line="163" w:lineRule="exact"/>
        <w:rPr>
          <w:sz w:val="20"/>
          <w:szCs w:val="20"/>
          <w:color w:val="auto"/>
        </w:rPr>
      </w:pPr>
    </w:p>
    <w:p>
      <w:pPr>
        <w:ind w:left="900" w:hanging="16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52" w:lineRule="exact"/>
        <w:rPr>
          <w:rFonts w:ascii="Arial" w:cs="Arial" w:eastAsia="Arial" w:hAnsi="Arial"/>
          <w:sz w:val="18"/>
          <w:szCs w:val="18"/>
          <w:color w:val="auto"/>
        </w:rPr>
      </w:pPr>
    </w:p>
    <w:p>
      <w:pPr>
        <w:ind w:left="900" w:right="560" w:hanging="163"/>
        <w:spacing w:after="0" w:line="292" w:lineRule="auto"/>
        <w:tabs>
          <w:tab w:leader="none" w:pos="8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171" w:lineRule="exact"/>
        <w:rPr>
          <w:rFonts w:ascii="Arial" w:cs="Arial" w:eastAsia="Arial" w:hAnsi="Arial"/>
          <w:sz w:val="18"/>
          <w:szCs w:val="18"/>
          <w:color w:val="auto"/>
        </w:rPr>
      </w:pPr>
    </w:p>
    <w:p>
      <w:pPr>
        <w:ind w:left="900" w:hanging="16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252" w:lineRule="exact"/>
        <w:rPr>
          <w:rFonts w:ascii="Arial" w:cs="Arial" w:eastAsia="Arial" w:hAnsi="Arial"/>
          <w:sz w:val="18"/>
          <w:szCs w:val="18"/>
          <w:color w:val="auto"/>
        </w:rPr>
      </w:pPr>
    </w:p>
    <w:p>
      <w:pPr>
        <w:ind w:left="900" w:hanging="16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52"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all of our executive officers have joined us since February 2015. This lack of long-term experience working together as a company may adversely impact our senior management team’s ability to effectively manage our business and growth.</w:t>
      </w:r>
    </w:p>
    <w:p>
      <w:pPr>
        <w:spacing w:after="0" w:line="20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04" w:lineRule="exact"/>
        <w:rPr>
          <w:sz w:val="20"/>
          <w:szCs w:val="20"/>
          <w:color w:val="auto"/>
        </w:rPr>
      </w:pPr>
    </w:p>
    <w:p>
      <w:pPr>
        <w:ind w:right="380" w:firstLine="486"/>
        <w:spacing w:after="0" w:line="271"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820"/>
        <w:spacing w:after="0" w:line="301" w:lineRule="auto"/>
        <w:rPr>
          <w:sz w:val="20"/>
          <w:szCs w:val="20"/>
          <w:color w:val="auto"/>
        </w:rPr>
      </w:pPr>
      <w:r>
        <w:rPr>
          <w:rFonts w:ascii="Arial" w:cs="Arial" w:eastAsia="Arial" w:hAnsi="Arial"/>
          <w:sz w:val="18"/>
          <w:szCs w:val="18"/>
          <w:b w:val="1"/>
          <w:bCs w:val="1"/>
          <w:i w:val="1"/>
          <w:iCs w:val="1"/>
          <w:color w:val="auto"/>
        </w:rPr>
        <w:t>We have engaged in and may in the future engage in acquisitions or strategic partnerships, which may increase our capital requirements, dilute our stockholders, cause us to incur debt or assume contingent liabilities, and subject us to other risks.</w:t>
      </w:r>
    </w:p>
    <w:p>
      <w:pPr>
        <w:spacing w:after="0" w:line="156"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rPr>
        <w:t>We have in the past engaged in acquisitions and strategic partnerships, and we may engage in various acquisitions and strategic partnerships in the future, including licensing or acquiring complementary products, intellectual property rights, technologies, or businesses. For instance, in January 2018 we entered into the Takeda Collaboration Agreement, as amended in February 2019, and in connection therewith we issued and sold to Takeda 4,214,559 shares of our common stock for an aggregate purchase price of $110.0 million in February 2018. On May 30, 2018, we exercised our buy-out option in connection with the F-star Collaboration Agreement and entered into a Purchase Agreement pursuant to which we acquired all of the outstanding shares of F-star Gamma. Further, on October 29, 2018, we entered into the Sanofi Collaboration Agreement. Any acquisition or strategic partnership may entail numerous risks, including:</w:t>
      </w:r>
    </w:p>
    <w:p>
      <w:pPr>
        <w:spacing w:after="0" w:line="206"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252" w:lineRule="exact"/>
        <w:rPr>
          <w:rFonts w:ascii="Arial" w:cs="Arial" w:eastAsia="Arial" w:hAnsi="Arial"/>
          <w:sz w:val="18"/>
          <w:szCs w:val="18"/>
          <w:color w:val="auto"/>
        </w:rPr>
      </w:pPr>
    </w:p>
    <w:p>
      <w:pPr>
        <w:ind w:left="900" w:right="520" w:hanging="244"/>
        <w:spacing w:after="0" w:line="292" w:lineRule="auto"/>
        <w:tabs>
          <w:tab w:leader="none" w:pos="8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71" w:lineRule="exact"/>
        <w:rPr>
          <w:rFonts w:ascii="Arial" w:cs="Arial" w:eastAsia="Arial" w:hAnsi="Arial"/>
          <w:sz w:val="18"/>
          <w:szCs w:val="18"/>
          <w:color w:val="auto"/>
        </w:rPr>
      </w:pPr>
    </w:p>
    <w:p>
      <w:pPr>
        <w:ind w:left="900" w:right="320" w:hanging="244"/>
        <w:spacing w:after="0" w:line="292" w:lineRule="auto"/>
        <w:tabs>
          <w:tab w:leader="none" w:pos="8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an acquisition or strategic partnership;</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52" w:lineRule="exact"/>
        <w:rPr>
          <w:rFonts w:ascii="Arial" w:cs="Arial" w:eastAsia="Arial" w:hAnsi="Arial"/>
          <w:sz w:val="18"/>
          <w:szCs w:val="18"/>
          <w:color w:val="auto"/>
        </w:rPr>
      </w:pPr>
    </w:p>
    <w:p>
      <w:pPr>
        <w:ind w:left="900" w:right="180" w:hanging="244"/>
        <w:spacing w:after="0" w:line="292" w:lineRule="auto"/>
        <w:tabs>
          <w:tab w:leader="none" w:pos="8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1"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2"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2" w:lineRule="exact"/>
        <w:rPr>
          <w:sz w:val="20"/>
          <w:szCs w:val="20"/>
          <w:color w:val="auto"/>
        </w:rPr>
      </w:pPr>
    </w:p>
    <w:p>
      <w:pPr>
        <w:ind w:right="400"/>
        <w:spacing w:after="0" w:line="283"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other breakdowns, cyberattacks or information security breaches that could compromise the confidentiality, integrity, and availability of such systems and data, and affect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Despite the implementation of security measures, our internal computer systems and those of our future CROs and other contractors and consultants may be vulnerable to damage from computer viruses and unauthorized access. As the cyber-threat landscape evolves, these attacks are growing in frequency, sophistication and intensity, and are becoming increasingly difficult to detect. Such attacks could include the use of key loggers or other harmful and virulent malware, including ransomware or other denials of service, and can be deployed through malicious websites, the use of social engineering and/or other means. Although to our knowledge we have not experienced any such material system failure or security breach to date, if a breakdown, cyberattack or other information security breach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systems, or inappropriate disclosure of confidential or proprietary information, including data related to our personnel, we could incur liability and the further development and commercialization of</w:t>
      </w:r>
    </w:p>
    <w:p>
      <w:pPr>
        <w:spacing w:after="0" w:line="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product candidates could be delayed. There can be no assurance that we and our business counterparties will be successful in efforts to detect, prevent or fully recover systems or data from all breakdowns, service interruptions, attacks or breaches of systems that could adversely affect our business and operations and/or result in the loss or disclosure of critical or sensitive data, which could result in financial, legal, business or reputational harm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52"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05"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All of our operations including our corporate headquarters are located in a single facility in South San Francisco,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52"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172" w:lineRule="exact"/>
        <w:rPr>
          <w:sz w:val="20"/>
          <w:szCs w:val="20"/>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252" w:lineRule="exact"/>
        <w:rPr>
          <w:rFonts w:ascii="Arial" w:cs="Arial" w:eastAsia="Arial" w:hAnsi="Arial"/>
          <w:sz w:val="18"/>
          <w:szCs w:val="18"/>
          <w:color w:val="auto"/>
        </w:rPr>
      </w:pPr>
    </w:p>
    <w:p>
      <w:pPr>
        <w:ind w:left="900" w:right="240" w:hanging="244"/>
        <w:spacing w:after="0" w:line="292" w:lineRule="auto"/>
        <w:tabs>
          <w:tab w:leader="none" w:pos="8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under the FCPA, UK Bribery Act or comparable foreign laws; and</w:t>
      </w:r>
    </w:p>
    <w:p>
      <w:pPr>
        <w:spacing w:after="0" w:line="252" w:lineRule="exact"/>
        <w:rPr>
          <w:rFonts w:ascii="Arial" w:cs="Arial" w:eastAsia="Arial" w:hAnsi="Arial"/>
          <w:sz w:val="18"/>
          <w:szCs w:val="18"/>
          <w:color w:val="auto"/>
        </w:rPr>
      </w:pPr>
    </w:p>
    <w:p>
      <w:pPr>
        <w:ind w:left="900" w:right="160" w:hanging="244"/>
        <w:spacing w:after="0" w:line="292" w:lineRule="auto"/>
        <w:tabs>
          <w:tab w:leader="none" w:pos="8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2" w:lineRule="exact"/>
        <w:rPr>
          <w:sz w:val="20"/>
          <w:szCs w:val="20"/>
          <w:color w:val="auto"/>
        </w:rPr>
      </w:pPr>
    </w:p>
    <w:p>
      <w:pPr>
        <w:ind w:right="80" w:firstLine="486"/>
        <w:spacing w:after="0" w:line="292"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December 31, 2018, we had federal net operating loss carryforwards of approximately $118.6 million, and federal research and development tax credit carryforwards of approximately $7.5 million which will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IPO in December 2017 and private placements and other transactions that have occurred since our incorporation, we may have experienced such an ownership change.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35"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which could result in substantial losses for investors.</w:t>
      </w:r>
    </w:p>
    <w:p>
      <w:pPr>
        <w:spacing w:after="0" w:line="156" w:lineRule="exact"/>
        <w:rPr>
          <w:sz w:val="20"/>
          <w:szCs w:val="20"/>
          <w:color w:val="auto"/>
        </w:rPr>
      </w:pPr>
    </w:p>
    <w:p>
      <w:pPr>
        <w:jc w:val="both"/>
        <w:ind w:right="300" w:firstLine="486"/>
        <w:spacing w:after="0" w:line="271"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 In addition to the factors discussed in this "Risk Factors" section and elsewhere in this report, these factors include:</w:t>
      </w:r>
    </w:p>
    <w:p>
      <w:pPr>
        <w:spacing w:after="0" w:line="190"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achieve development, regulatory or commercialization milestones under our collaborations;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develop our BBB platform technology;</w:t>
      </w:r>
    </w:p>
    <w:p>
      <w:pPr>
        <w:spacing w:after="0" w:line="252" w:lineRule="exact"/>
        <w:rPr>
          <w:rFonts w:ascii="Arial" w:cs="Arial" w:eastAsia="Arial" w:hAnsi="Arial"/>
          <w:sz w:val="18"/>
          <w:szCs w:val="18"/>
          <w:color w:val="auto"/>
        </w:rPr>
      </w:pPr>
    </w:p>
    <w:p>
      <w:pPr>
        <w:ind w:left="900" w:right="220" w:hanging="244"/>
        <w:spacing w:after="0" w:line="292" w:lineRule="auto"/>
        <w:tabs>
          <w:tab w:leader="none" w:pos="8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00" w:hanging="244"/>
        <w:spacing w:after="0" w:line="292" w:lineRule="auto"/>
        <w:tabs>
          <w:tab w:leader="none" w:pos="8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clinical development programs, or product candidates that we may develop;</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52" w:lineRule="exact"/>
        <w:rPr>
          <w:rFonts w:ascii="Arial" w:cs="Arial" w:eastAsia="Arial" w:hAnsi="Arial"/>
          <w:sz w:val="18"/>
          <w:szCs w:val="18"/>
          <w:color w:val="auto"/>
        </w:rPr>
      </w:pPr>
    </w:p>
    <w:p>
      <w:pPr>
        <w:ind w:left="900" w:right="520" w:hanging="244"/>
        <w:spacing w:after="0" w:line="292" w:lineRule="auto"/>
        <w:tabs>
          <w:tab w:leader="none" w:pos="8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ectPr>
          <w:pgSz w:w="11900" w:h="16838" w:orient="portrait"/>
          <w:cols w:equalWidth="0" w:num="1">
            <w:col w:w="11180"/>
          </w:cols>
          <w:pgMar w:left="240" w:top="42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427" w:right="47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economic, industry, and market conditions.</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In the past, when the market price of a stock has been volatile, holders of that stock have instituted securities class action litigation against the company that issued the stock. If any of our stockholders were to bring a lawsuit against us, the defense and disposition of any such lawsuits could be costly and divert the time and attention of our management and harm our operating results, regardless of the merits of such a claim.</w:t>
      </w:r>
    </w:p>
    <w:p>
      <w:pPr>
        <w:spacing w:after="0" w:line="285"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and trading volume could decline.</w:t>
      </w:r>
    </w:p>
    <w:p>
      <w:pPr>
        <w:spacing w:after="0" w:line="15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or trading volume to decline.</w:t>
      </w:r>
    </w:p>
    <w:p>
      <w:pPr>
        <w:spacing w:after="0" w:line="278"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56"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On March 12, 2019, we filed a shelf registration statement on Form S-3 (File No. 333-230232) with the Securities and Exchange Commission, which became effective upon filing. The shelf registration allows us to sell, from time to time, an unspecified number of shares of common stock; shares of preferred stock; debt securities; warrants to purchase shares of common stock, preferred stock, or other securities; purchase contracts; and units representing two or more of the foregoing securities.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84"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56"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As of September 30, 2019, our directors, executive officers, holders of more than 5% of our outstanding stock and their respective affiliates beneficially own shares representing more than 50.0% of our outstanding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earliest to occur of: the last day of the fiscal year in which we have more than $1.07 billion in annual revenue; the date we qualify as a "large accelerated filer," with at least $ 700 million of equity securities held by non-affiliates; the issuance, in any three-year period, by us of more than $1.0 billion in non-convertible debt securities; and the last day of the fiscal year ending after the fifth anniversary of our IPO, or December 31, 2022. References herein to "emerging growth company" are intended to have the meaning associated with it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11"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are be subject to the same new or revised accounting standards as other public companies that are not emerging growth companies.</w:t>
      </w:r>
    </w:p>
    <w:p>
      <w:pPr>
        <w:spacing w:after="0" w:line="283" w:lineRule="exact"/>
        <w:rPr>
          <w:sz w:val="20"/>
          <w:szCs w:val="20"/>
          <w:color w:val="auto"/>
        </w:rPr>
      </w:pPr>
    </w:p>
    <w:p>
      <w:pPr>
        <w:jc w:val="both"/>
        <w:ind w:right="160"/>
        <w:spacing w:after="0" w:line="276"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been and will continue to be required to devote substantial time to new compliance initiatives and corporate governance practices, including maintaining an effective system of internal controls over financial reporting.</w:t>
      </w:r>
    </w:p>
    <w:p>
      <w:pPr>
        <w:spacing w:after="0" w:line="17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a public company, and particularly after we are no longer an emerging growth company, we have incurred and will continue to incur significant legal, accounting, and other expenses that we did not incur as a private company. The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continue to devote a substantial amount of time towards maintaining compliance with these requirements. These requirements have and will continue to increase our legal and financial compliance costs and will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91"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and growth prospects could be adversely affected.</w:t>
      </w:r>
    </w:p>
    <w:p>
      <w:pPr>
        <w:spacing w:after="0" w:line="156"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 However, our auditors will not be required to formally attest to the effectiveness of our internal control over financial reporting pursuant to SOX Section 404 until we are no longer an emerging growth company if we continue to take advantage of the exemptions available to us through the JOBS Act.</w:t>
      </w:r>
    </w:p>
    <w:p>
      <w:pPr>
        <w:spacing w:after="0" w:line="148"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results of operations and growth prospects.</w:t>
      </w:r>
    </w:p>
    <w:p>
      <w:pPr>
        <w:spacing w:after="0" w:line="283"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We have not paid and do not expect to pay any dividends for the foreseeable future. Any return on investment may be limited to the value of our common stock.</w:t>
      </w:r>
    </w:p>
    <w:p>
      <w:pPr>
        <w:spacing w:after="0" w:line="156"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We have never paid cash dividends on our common stock and do not anticipate that we will pay any dividends in the foreseeable future. We currently intend to retain our future earnings, if any, to maintain and expand our existing operations. If we do not pay dividends, our common stock may be less valuable because a return on your investment will only occur if our stock price appreciates.</w:t>
      </w:r>
    </w:p>
    <w:p>
      <w:pPr>
        <w:spacing w:after="0" w:line="271"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Delaware law and provisions in our charter documents might discourage, delay, or prevent a change in control of our company or changes in our management and, therefore, depress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202" w:lineRule="exact"/>
        <w:rPr>
          <w:sz w:val="20"/>
          <w:szCs w:val="20"/>
          <w:color w:val="auto"/>
        </w:rPr>
      </w:pPr>
    </w:p>
    <w:p>
      <w:pPr>
        <w:ind w:left="900" w:right="260" w:hanging="244"/>
        <w:spacing w:after="0" w:line="292"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three-year terms;</w:t>
      </w:r>
    </w:p>
    <w:p>
      <w:pPr>
        <w:spacing w:after="0" w:line="171" w:lineRule="exact"/>
        <w:rPr>
          <w:rFonts w:ascii="Arial" w:cs="Arial" w:eastAsia="Arial" w:hAnsi="Arial"/>
          <w:sz w:val="18"/>
          <w:szCs w:val="18"/>
          <w:color w:val="auto"/>
        </w:rPr>
      </w:pPr>
    </w:p>
    <w:p>
      <w:pPr>
        <w:ind w:left="900" w:right="200" w:hanging="244"/>
        <w:spacing w:after="0" w:line="292"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252" w:lineRule="exact"/>
        <w:rPr>
          <w:rFonts w:ascii="Arial" w:cs="Arial" w:eastAsia="Arial" w:hAnsi="Arial"/>
          <w:sz w:val="18"/>
          <w:szCs w:val="18"/>
          <w:color w:val="auto"/>
        </w:rPr>
      </w:pPr>
    </w:p>
    <w:p>
      <w:pPr>
        <w:ind w:left="900" w:right="640" w:hanging="244"/>
        <w:spacing w:after="0" w:line="292"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issues shares of preferred stock and determine the price and other terms of those shares, including preferences and voting rights, without stockholder approval;</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252" w:lineRule="exact"/>
        <w:rPr>
          <w:rFonts w:ascii="Arial" w:cs="Arial" w:eastAsia="Arial" w:hAnsi="Arial"/>
          <w:sz w:val="18"/>
          <w:szCs w:val="18"/>
          <w:color w:val="auto"/>
        </w:rPr>
      </w:pPr>
    </w:p>
    <w:p>
      <w:pPr>
        <w:ind w:left="900" w:right="60" w:hanging="244"/>
        <w:spacing w:after="0" w:line="292"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15.0% of our voting stock, for a period of three years after the date of the transaction in which the person became an interested stockholder, unless the business combination is approved in a prescribed manner.</w:t>
      </w:r>
    </w:p>
    <w:p>
      <w:pPr>
        <w:spacing w:after="0" w:line="19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1"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30" w:lineRule="exact"/>
        <w:rPr>
          <w:sz w:val="20"/>
          <w:szCs w:val="20"/>
          <w:color w:val="auto"/>
        </w:rPr>
      </w:pPr>
    </w:p>
    <w:p>
      <w:pPr>
        <w:ind w:left="900" w:hanging="24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252" w:lineRule="exact"/>
        <w:rPr>
          <w:rFonts w:ascii="Arial" w:cs="Arial" w:eastAsia="Arial" w:hAnsi="Arial"/>
          <w:sz w:val="18"/>
          <w:szCs w:val="18"/>
          <w:color w:val="auto"/>
        </w:rPr>
      </w:pPr>
    </w:p>
    <w:p>
      <w:pPr>
        <w:ind w:left="900" w:right="600" w:hanging="244"/>
        <w:spacing w:after="0" w:line="292"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52" w:lineRule="exact"/>
        <w:rPr>
          <w:sz w:val="20"/>
          <w:szCs w:val="20"/>
          <w:color w:val="auto"/>
        </w:rPr>
      </w:pPr>
    </w:p>
    <w:p>
      <w:pPr>
        <w:ind w:right="40" w:firstLine="486"/>
        <w:spacing w:after="0" w:line="241"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(such provision, the "Federal Forum Provision"). However, as previously disclosed in our Current Report on Form 8-K filed with the SEC on January 4, 2019, in light of the decision issued by the Delaware Court of Chancery in Matthew Sciabacucchi v. Matthew B. Salzberg et al., C.A. No. 2017-0931-JTL (Del. Ch.), finding that provisions such as the Federal Forum Provision are not valid under Delaware law, we do not intend to enforce the Federal Forum provision unless and until such time that Court of Chancery, or the Delaware Supreme Court, determines that such a provision is valid under Delaware law.</w:t>
      </w:r>
    </w:p>
    <w:p>
      <w:pPr>
        <w:spacing w:after="0" w:line="206"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5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December 7, 2017, our Registration Statement on Form S-1 (File No. 333-221522) was declared effective by the SEC for our initial public offering of common stock. We started trading on The NASDAQ Global Select Market on December 8, 2017, and the transaction formally closed on December 12, 2017. In connection with the initial public offering, we sold an aggregate of 15,972,221 shares of common stock, including 2,083,333 shares sold pursuant to the underwriters' full exercise of their option to purchase additional shares, at a price to the public of $18.00 per share. The aggregate offering price for shares sold in the offering was $287.5 million. The joint book-running managers for the initial public offering were Goldman, Sachs &amp; Co. LLC, Morgan Stanley &amp; Co. LLC, and J.P. Morgan Securities LLC. After deducting underwriting discounts, commissions and offering expenses paid or payable by us of approximately $23.2 million, the net proceeds from the offering were approximately $ 264.3 million. No offering expenses were paid or are payable, directly or indirectly, to our directors or officers, to persons owning 10% or more of any class of our equity securities or to any of our affiliates.</w:t>
      </w:r>
    </w:p>
    <w:p>
      <w:pPr>
        <w:spacing w:after="0" w:line="209"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December 8, 2017 pursuant to Rule 424(b)(4). We invested the funds received in short-term, interest-bearing investment-grade securities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427" w:right="1440"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68" w:lineRule="exact"/>
        <w:rPr>
          <w:sz w:val="20"/>
          <w:szCs w:val="20"/>
          <w:color w:val="auto"/>
        </w:rPr>
      </w:pPr>
    </w:p>
    <w:p>
      <w:pPr>
        <w:jc w:val="right"/>
        <w:ind w:right="128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400"/>
          </w:cols>
          <w:pgMar w:left="240" w:top="427" w:right="259" w:bottom="1440" w:gutter="0" w:footer="0" w:header="0"/>
        </w:sectPr>
      </w:pP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Exhibit</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50800</wp:posOffset>
            </wp:positionV>
            <wp:extent cx="643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31.1</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32.1*</w:t>
      </w:r>
    </w:p>
    <w:p>
      <w:pPr>
        <w:spacing w:after="0" w:line="248"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32.2*</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6"/>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Certification of Chief Executive Officer pursuant to Section 302 of the</w:t>
              </w:r>
            </w:hyperlink>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106">
              <w:r>
                <w:rPr>
                  <w:rFonts w:ascii="Arial" w:cs="Arial" w:eastAsia="Arial" w:hAnsi="Arial"/>
                  <w:sz w:val="16"/>
                  <w:szCs w:val="16"/>
                  <w:color w:val="0000FF"/>
                  <w:w w:val="99"/>
                </w:rPr>
                <w:t>Sarbanes-Oxley Act.</w:t>
              </w:r>
            </w:hyperlink>
          </w:p>
        </w:tc>
        <w:tc>
          <w:tcPr>
            <w:tcW w:w="3440" w:type="dxa"/>
            <w:vAlign w:val="bottom"/>
            <w:tcBorders>
              <w:top w:val="single" w:sz="8" w:color="0000FF"/>
            </w:tcBorders>
            <w:gridSpan w:val="3"/>
          </w:tcPr>
          <w:p>
            <w:pPr>
              <w:spacing w:after="0"/>
              <w:rPr>
                <w:sz w:val="12"/>
                <w:szCs w:val="12"/>
                <w:color w:val="auto"/>
              </w:rPr>
            </w:pPr>
          </w:p>
        </w:tc>
        <w:tc>
          <w:tcPr>
            <w:tcW w:w="68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6"/>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Certification of Chief Financial Officer pursuant to Section 302 of the</w:t>
              </w:r>
            </w:hyperlink>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107">
              <w:r>
                <w:rPr>
                  <w:rFonts w:ascii="Arial" w:cs="Arial" w:eastAsia="Arial" w:hAnsi="Arial"/>
                  <w:sz w:val="16"/>
                  <w:szCs w:val="16"/>
                  <w:color w:val="0000FF"/>
                  <w:w w:val="99"/>
                </w:rPr>
                <w:t>Sarbanes-Oxley Act.</w:t>
              </w:r>
            </w:hyperlink>
          </w:p>
        </w:tc>
        <w:tc>
          <w:tcPr>
            <w:tcW w:w="3400" w:type="dxa"/>
            <w:vAlign w:val="bottom"/>
            <w:tcBorders>
              <w:top w:val="single" w:sz="8" w:color="0000FF"/>
            </w:tcBorders>
            <w:gridSpan w:val="2"/>
          </w:tcPr>
          <w:p>
            <w:pPr>
              <w:spacing w:after="0"/>
              <w:rPr>
                <w:sz w:val="12"/>
                <w:szCs w:val="12"/>
                <w:color w:val="auto"/>
              </w:rPr>
            </w:pPr>
          </w:p>
        </w:tc>
        <w:tc>
          <w:tcPr>
            <w:tcW w:w="720" w:type="dxa"/>
            <w:vAlign w:val="bottom"/>
            <w:gridSpan w:val="3"/>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6"/>
          </w:tcPr>
          <w:p>
            <w:pPr>
              <w:spacing w:after="0" w:line="183" w:lineRule="exact"/>
              <w:rPr>
                <w:rFonts w:ascii="Arial" w:cs="Arial" w:eastAsia="Arial" w:hAnsi="Arial"/>
                <w:sz w:val="16"/>
                <w:szCs w:val="16"/>
                <w:color w:val="0000FF"/>
              </w:rPr>
            </w:pPr>
            <w:hyperlink w:anchor="page108">
              <w:r>
                <w:rPr>
                  <w:rFonts w:ascii="Arial" w:cs="Arial" w:eastAsia="Arial" w:hAnsi="Arial"/>
                  <w:sz w:val="16"/>
                  <w:szCs w:val="16"/>
                  <w:color w:val="0000FF"/>
                </w:rPr>
                <w:t>Certification of Chief Executive Officer pursuant to Section 906 of the</w:t>
              </w:r>
            </w:hyperlink>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line="183" w:lineRule="exact"/>
              <w:rPr>
                <w:sz w:val="20"/>
                <w:szCs w:val="20"/>
                <w:color w:val="auto"/>
              </w:rPr>
            </w:pPr>
            <w:r>
              <w:rPr>
                <w:rFonts w:ascii="Arial" w:cs="Arial" w:eastAsia="Arial" w:hAnsi="Arial"/>
                <w:sz w:val="16"/>
                <w:szCs w:val="16"/>
                <w:color w:val="auto"/>
              </w:rPr>
              <w:t>Furnished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w:anchor="page108">
              <w:r>
                <w:rPr>
                  <w:rFonts w:ascii="Arial" w:cs="Arial" w:eastAsia="Arial" w:hAnsi="Arial"/>
                  <w:sz w:val="14"/>
                  <w:szCs w:val="14"/>
                  <w:color w:val="0000FF"/>
                </w:rPr>
                <w:t>Sarbanes-Oxley Act.</w:t>
              </w:r>
            </w:hyperlink>
          </w:p>
        </w:tc>
        <w:tc>
          <w:tcPr>
            <w:tcW w:w="20" w:type="dxa"/>
            <w:vAlign w:val="bottom"/>
            <w:tcBorders>
              <w:top w:val="single" w:sz="8" w:color="0000FF"/>
              <w:bottom w:val="single" w:sz="8" w:color="0000FF"/>
            </w:tcBorders>
          </w:tcPr>
          <w:p>
            <w:pPr>
              <w:spacing w:after="0"/>
              <w:rPr>
                <w:sz w:val="12"/>
                <w:szCs w:val="12"/>
                <w:color w:val="auto"/>
              </w:rPr>
            </w:pPr>
          </w:p>
        </w:tc>
        <w:tc>
          <w:tcPr>
            <w:tcW w:w="3420" w:type="dxa"/>
            <w:vAlign w:val="bottom"/>
            <w:tcBorders>
              <w:top w:val="single" w:sz="8" w:color="0000FF"/>
              <w:bottom w:val="single" w:sz="8" w:color="0000FF"/>
            </w:tcBorders>
            <w:gridSpan w:val="2"/>
          </w:tcPr>
          <w:p>
            <w:pPr>
              <w:spacing w:after="0"/>
              <w:rPr>
                <w:sz w:val="12"/>
                <w:szCs w:val="12"/>
                <w:color w:val="auto"/>
              </w:rPr>
            </w:pPr>
          </w:p>
        </w:tc>
        <w:tc>
          <w:tcPr>
            <w:tcW w:w="680" w:type="dxa"/>
            <w:vAlign w:val="bottom"/>
            <w:gridSpan w:val="2"/>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herewith</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600" w:type="dxa"/>
            <w:vAlign w:val="bottom"/>
            <w:gridSpan w:val="6"/>
            <w:vMerge w:val="restart"/>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Certification of Chief Financial Officer pursuant to Section 906 of the</w:t>
              </w:r>
            </w:hyperlink>
          </w:p>
        </w:tc>
        <w:tc>
          <w:tcPr>
            <w:tcW w:w="80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gridSpan w:val="6"/>
            <w:vMerge w:val="continue"/>
          </w:tcPr>
          <w:p>
            <w:pPr>
              <w:spacing w:after="0"/>
              <w:rPr>
                <w:sz w:val="16"/>
                <w:szCs w:val="16"/>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line="165" w:lineRule="exact"/>
              <w:rPr>
                <w:sz w:val="20"/>
                <w:szCs w:val="20"/>
                <w:color w:val="auto"/>
              </w:rPr>
            </w:pPr>
            <w:r>
              <w:rPr>
                <w:rFonts w:ascii="Arial" w:cs="Arial" w:eastAsia="Arial" w:hAnsi="Arial"/>
                <w:sz w:val="16"/>
                <w:szCs w:val="16"/>
                <w:color w:val="auto"/>
              </w:rPr>
              <w:t>Furnished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w:anchor="page109">
              <w:r>
                <w:rPr>
                  <w:rFonts w:ascii="Arial" w:cs="Arial" w:eastAsia="Arial" w:hAnsi="Arial"/>
                  <w:sz w:val="14"/>
                  <w:szCs w:val="14"/>
                  <w:color w:val="0000FF"/>
                </w:rPr>
                <w:t>Sarbanes-Oxley Act.</w:t>
              </w:r>
            </w:hyperlink>
          </w:p>
        </w:tc>
        <w:tc>
          <w:tcPr>
            <w:tcW w:w="3380" w:type="dxa"/>
            <w:vAlign w:val="bottom"/>
            <w:tcBorders>
              <w:top w:val="single" w:sz="8" w:color="0000FF"/>
              <w:bottom w:val="single" w:sz="8" w:color="0000FF"/>
            </w:tcBorders>
          </w:tcPr>
          <w:p>
            <w:pPr>
              <w:spacing w:after="0"/>
              <w:rPr>
                <w:sz w:val="12"/>
                <w:szCs w:val="12"/>
                <w:color w:val="auto"/>
              </w:rPr>
            </w:pPr>
          </w:p>
        </w:tc>
        <w:tc>
          <w:tcPr>
            <w:tcW w:w="720" w:type="dxa"/>
            <w:vAlign w:val="bottom"/>
            <w:gridSpan w:val="3"/>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herewith</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600" w:type="dxa"/>
            <w:vAlign w:val="bottom"/>
            <w:gridSpan w:val="6"/>
            <w:vMerge w:val="restart"/>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c>
          <w:tcPr>
            <w:tcW w:w="80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gridSpan w:val="6"/>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6"/>
          </w:tcPr>
          <w:p>
            <w:pPr>
              <w:spacing w:after="0"/>
              <w:rPr>
                <w:sz w:val="20"/>
                <w:szCs w:val="20"/>
                <w:color w:val="auto"/>
              </w:rPr>
            </w:pPr>
            <w:r>
              <w:rPr>
                <w:rFonts w:ascii="Arial" w:cs="Arial" w:eastAsia="Arial" w:hAnsi="Arial"/>
                <w:sz w:val="16"/>
                <w:szCs w:val="16"/>
                <w:color w:val="auto"/>
              </w:rPr>
              <w:t>Interactive Data File because its XBRL tags are embedded within the Incline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6"/>
          </w:tcPr>
          <w:p>
            <w:pPr>
              <w:spacing w:after="0"/>
              <w:rPr>
                <w:sz w:val="20"/>
                <w:szCs w:val="20"/>
                <w:color w:val="auto"/>
              </w:rPr>
            </w:pPr>
            <w:r>
              <w:rPr>
                <w:rFonts w:ascii="Arial" w:cs="Arial" w:eastAsia="Arial" w:hAnsi="Arial"/>
                <w:sz w:val="16"/>
                <w:szCs w:val="16"/>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-1756410</wp:posOffset>
            </wp:positionV>
            <wp:extent cx="2941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840" w:space="320"/>
            <w:col w:w="10240"/>
          </w:cols>
          <w:pgMar w:left="240" w:top="427" w:right="259" w:bottom="1440" w:gutter="0" w:footer="0" w:header="0"/>
          <w:type w:val="continuous"/>
        </w:sectPr>
      </w:pPr>
    </w:p>
    <w:tbl>
      <w:tblPr>
        <w:tblLayout w:type="fixed"/>
        <w:tblInd w:w="200" w:type="dxa"/>
        <w:tblCellMar>
          <w:top w:w="0" w:type="dxa"/>
          <w:left w:w="0" w:type="dxa"/>
          <w:bottom w:w="0" w:type="dxa"/>
          <w:right w:w="0" w:type="dxa"/>
        </w:tblCellMar>
      </w:tblPr>
      <w:tr>
        <w:trPr>
          <w:trHeight w:val="219"/>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502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243"/>
        </w:trPr>
        <w:tc>
          <w:tcPr>
            <w:tcW w:w="820" w:type="dxa"/>
            <w:vAlign w:val="bottom"/>
          </w:tcPr>
          <w:p>
            <w:pPr>
              <w:ind w:left="20"/>
              <w:spacing w:after="0"/>
              <w:rPr>
                <w:sz w:val="20"/>
                <w:szCs w:val="20"/>
                <w:color w:val="auto"/>
              </w:rPr>
            </w:pPr>
            <w:r>
              <w:rPr>
                <w:rFonts w:ascii="Arial" w:cs="Arial" w:eastAsia="Arial" w:hAnsi="Arial"/>
                <w:sz w:val="16"/>
                <w:szCs w:val="16"/>
                <w:color w:val="auto"/>
              </w:rPr>
              <w:t>101.CAL</w:t>
            </w:r>
          </w:p>
        </w:tc>
        <w:tc>
          <w:tcPr>
            <w:tcW w:w="502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502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43"/>
        </w:trPr>
        <w:tc>
          <w:tcPr>
            <w:tcW w:w="820" w:type="dxa"/>
            <w:vAlign w:val="bottom"/>
          </w:tcPr>
          <w:p>
            <w:pPr>
              <w:ind w:left="20"/>
              <w:spacing w:after="0"/>
              <w:rPr>
                <w:sz w:val="20"/>
                <w:szCs w:val="20"/>
                <w:color w:val="auto"/>
              </w:rPr>
            </w:pPr>
            <w:r>
              <w:rPr>
                <w:rFonts w:ascii="Arial" w:cs="Arial" w:eastAsia="Arial" w:hAnsi="Arial"/>
                <w:sz w:val="16"/>
                <w:szCs w:val="16"/>
                <w:color w:val="auto"/>
              </w:rPr>
              <w:t>101.LAB</w:t>
            </w:r>
          </w:p>
        </w:tc>
        <w:tc>
          <w:tcPr>
            <w:tcW w:w="502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43"/>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502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99" w:lineRule="exact"/>
        <w:rPr>
          <w:sz w:val="20"/>
          <w:szCs w:val="20"/>
          <w:color w:val="auto"/>
        </w:rPr>
      </w:pPr>
    </w:p>
    <w:p>
      <w:pPr>
        <w:ind w:left="700" w:right="320" w:hanging="376"/>
        <w:spacing w:after="0" w:line="258"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not deemed filed with the Securities and Exchange Commission and are not to be incorporated by reference into any filing of Denali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8" w:lineRule="exact"/>
        <w:rPr>
          <w:sz w:val="20"/>
          <w:szCs w:val="20"/>
          <w:color w:val="auto"/>
        </w:rPr>
      </w:pPr>
    </w:p>
    <w:p>
      <w:pPr>
        <w:ind w:right="600" w:firstLine="54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7240" w:type="dxa"/>
            <w:vAlign w:val="bottom"/>
            <w:gridSpan w:val="2"/>
          </w:tcPr>
          <w:p>
            <w:pPr>
              <w:ind w:left="2100"/>
              <w:spacing w:after="0"/>
              <w:rPr>
                <w:sz w:val="20"/>
                <w:szCs w:val="20"/>
                <w:color w:val="auto"/>
              </w:rPr>
            </w:pPr>
            <w:r>
              <w:rPr>
                <w:rFonts w:ascii="Arial" w:cs="Arial" w:eastAsia="Arial" w:hAnsi="Arial"/>
                <w:sz w:val="18"/>
                <w:szCs w:val="18"/>
                <w:b w:val="1"/>
                <w:bCs w:val="1"/>
                <w:color w:val="auto"/>
              </w:rPr>
              <w:t>DENALI THERAPEUTICS INC.</w:t>
            </w:r>
          </w:p>
        </w:tc>
      </w:tr>
      <w:tr>
        <w:trPr>
          <w:trHeight w:val="45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600" w:type="dxa"/>
            <w:vAlign w:val="bottom"/>
          </w:tcPr>
          <w:p>
            <w:pPr>
              <w:ind w:left="160"/>
              <w:spacing w:after="0"/>
              <w:rPr>
                <w:sz w:val="20"/>
                <w:szCs w:val="20"/>
                <w:color w:val="auto"/>
              </w:rPr>
            </w:pPr>
            <w:r>
              <w:rPr>
                <w:rFonts w:ascii="Arial" w:cs="Arial" w:eastAsia="Arial" w:hAnsi="Arial"/>
                <w:sz w:val="16"/>
                <w:szCs w:val="16"/>
                <w:color w:val="auto"/>
              </w:rPr>
              <w:t>November 6, 2019</w:t>
            </w:r>
          </w:p>
        </w:tc>
        <w:tc>
          <w:tcPr>
            <w:tcW w:w="7240" w:type="dxa"/>
            <w:vAlign w:val="bottom"/>
            <w:gridSpan w:val="2"/>
          </w:tcPr>
          <w:p>
            <w:pPr>
              <w:ind w:left="2100"/>
              <w:spacing w:after="0"/>
              <w:rPr>
                <w:sz w:val="20"/>
                <w:szCs w:val="20"/>
                <w:color w:val="auto"/>
              </w:rPr>
            </w:pPr>
            <w:r>
              <w:rPr>
                <w:rFonts w:ascii="Arial" w:cs="Arial" w:eastAsia="Arial" w:hAnsi="Arial"/>
                <w:sz w:val="16"/>
                <w:szCs w:val="16"/>
                <w:color w:val="auto"/>
              </w:rPr>
              <w:t>By:  /s/ Ryan J. Watts</w:t>
            </w:r>
          </w:p>
        </w:tc>
      </w:tr>
      <w:tr>
        <w:trPr>
          <w:trHeight w:val="228"/>
        </w:trPr>
        <w:tc>
          <w:tcPr>
            <w:tcW w:w="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Ryan J. Watts, Ph.D.</w:t>
            </w:r>
          </w:p>
        </w:tc>
      </w:tr>
      <w:tr>
        <w:trPr>
          <w:trHeight w:val="243"/>
        </w:trPr>
        <w:tc>
          <w:tcPr>
            <w:tcW w:w="5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5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68"/>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600" w:type="dxa"/>
            <w:vAlign w:val="bottom"/>
          </w:tcPr>
          <w:p>
            <w:pPr>
              <w:ind w:left="160"/>
              <w:spacing w:after="0"/>
              <w:rPr>
                <w:sz w:val="20"/>
                <w:szCs w:val="20"/>
                <w:color w:val="auto"/>
              </w:rPr>
            </w:pPr>
            <w:r>
              <w:rPr>
                <w:rFonts w:ascii="Arial" w:cs="Arial" w:eastAsia="Arial" w:hAnsi="Arial"/>
                <w:sz w:val="16"/>
                <w:szCs w:val="16"/>
                <w:color w:val="auto"/>
              </w:rPr>
              <w:t>November 6, 2019</w:t>
            </w:r>
          </w:p>
        </w:tc>
        <w:tc>
          <w:tcPr>
            <w:tcW w:w="7240" w:type="dxa"/>
            <w:vAlign w:val="bottom"/>
            <w:gridSpan w:val="2"/>
          </w:tcPr>
          <w:p>
            <w:pPr>
              <w:ind w:left="2100"/>
              <w:spacing w:after="0"/>
              <w:rPr>
                <w:sz w:val="20"/>
                <w:szCs w:val="20"/>
                <w:color w:val="auto"/>
              </w:rPr>
            </w:pPr>
            <w:r>
              <w:rPr>
                <w:rFonts w:ascii="Arial" w:cs="Arial" w:eastAsia="Arial" w:hAnsi="Arial"/>
                <w:sz w:val="16"/>
                <w:szCs w:val="16"/>
                <w:color w:val="auto"/>
              </w:rPr>
              <w:t>By:  /s/ Steve E. Krognes</w:t>
            </w:r>
          </w:p>
        </w:tc>
      </w:tr>
      <w:tr>
        <w:trPr>
          <w:trHeight w:val="228"/>
        </w:trPr>
        <w:tc>
          <w:tcPr>
            <w:tcW w:w="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Steve E. Krognes</w:t>
            </w:r>
          </w:p>
        </w:tc>
      </w:tr>
      <w:tr>
        <w:trPr>
          <w:trHeight w:val="243"/>
        </w:trPr>
        <w:tc>
          <w:tcPr>
            <w:tcW w:w="5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Financial Officer and Treasurer</w:t>
            </w:r>
          </w:p>
        </w:tc>
      </w:tr>
      <w:tr>
        <w:trPr>
          <w:trHeight w:val="230"/>
        </w:trPr>
        <w:tc>
          <w:tcPr>
            <w:tcW w:w="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2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Ryan J. Watts, Ph.D., certify that:</w:t>
      </w:r>
    </w:p>
    <w:p>
      <w:pPr>
        <w:spacing w:after="0" w:line="17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Denali Therapeutics Inc.;</w:t>
      </w:r>
    </w:p>
    <w:p>
      <w:pPr>
        <w:spacing w:after="0" w:line="171"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20" w:hanging="328"/>
        <w:spacing w:after="0" w:line="271"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80" w:right="120" w:hanging="319"/>
        <w:spacing w:after="0" w:line="271" w:lineRule="auto"/>
        <w:tabs>
          <w:tab w:leader="none" w:pos="13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80" w:right="100" w:hanging="319"/>
        <w:spacing w:after="0" w:line="271" w:lineRule="auto"/>
        <w:tabs>
          <w:tab w:leader="none" w:pos="13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80" w:right="40" w:hanging="319"/>
        <w:spacing w:after="0" w:line="271" w:lineRule="auto"/>
        <w:tabs>
          <w:tab w:leader="none" w:pos="13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80" w:right="160" w:hanging="319"/>
        <w:spacing w:after="0" w:line="271" w:lineRule="auto"/>
        <w:tabs>
          <w:tab w:leader="none" w:pos="13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380" w:right="40" w:hanging="319"/>
        <w:spacing w:after="0" w:line="271" w:lineRule="auto"/>
        <w:tabs>
          <w:tab w:leader="none" w:pos="13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80" w:right="880" w:hanging="319"/>
        <w:spacing w:after="0" w:line="292" w:lineRule="auto"/>
        <w:tabs>
          <w:tab w:leader="none" w:pos="13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Ryan J.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20320</wp:posOffset>
            </wp:positionV>
            <wp:extent cx="30016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Ryan J. Watts, Ph.D.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5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Steve E. Krognes, certify that:</w:t>
      </w:r>
    </w:p>
    <w:p>
      <w:pPr>
        <w:spacing w:after="0" w:line="17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Denali Therapeutics Inc.;</w:t>
      </w:r>
    </w:p>
    <w:p>
      <w:pPr>
        <w:spacing w:after="0" w:line="171"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20" w:hanging="328"/>
        <w:spacing w:after="0" w:line="271"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20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20" w:hanging="320"/>
        <w:spacing w:after="0" w:line="271" w:lineRule="auto"/>
        <w:tabs>
          <w:tab w:leader="none" w:pos="12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300" w:right="12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40" w:hanging="320"/>
        <w:spacing w:after="0" w:line="292"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5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Steve E. Krognes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45720</wp:posOffset>
            </wp:positionV>
            <wp:extent cx="31559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Steve E. Krognes</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5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Ryan J. Watts, Ph.D., President and Chief Executive Officer of Denali Therapeutics Inc. (the “Company”), hereby certify that:</w:t>
      </w:r>
    </w:p>
    <w:p>
      <w:pPr>
        <w:spacing w:after="0" w:line="190" w:lineRule="exact"/>
        <w:rPr>
          <w:sz w:val="20"/>
          <w:szCs w:val="20"/>
          <w:color w:val="auto"/>
        </w:rPr>
      </w:pPr>
    </w:p>
    <w:p>
      <w:pPr>
        <w:ind w:left="660" w:hanging="328"/>
        <w:spacing w:after="0" w:line="292"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J. Watts</w:t>
            </w:r>
          </w:p>
        </w:tc>
      </w:tr>
      <w:tr>
        <w:trPr>
          <w:trHeight w:val="247"/>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20"/>
              <w:spacing w:after="0"/>
              <w:rPr>
                <w:sz w:val="20"/>
                <w:szCs w:val="20"/>
                <w:color w:val="auto"/>
              </w:rPr>
            </w:pPr>
            <w:r>
              <w:rPr>
                <w:rFonts w:ascii="Arial" w:cs="Arial" w:eastAsia="Arial" w:hAnsi="Arial"/>
                <w:sz w:val="18"/>
                <w:szCs w:val="18"/>
                <w:color w:val="auto"/>
              </w:rPr>
              <w:t>Ryan J. Watts, Ph.D.</w:t>
            </w: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5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Steve E. Krognes, Chief Financial Officer and Treasurer of Denali Therapeutics Inc. (the “Company”), hereby certify that:</w:t>
      </w:r>
    </w:p>
    <w:p>
      <w:pPr>
        <w:spacing w:after="0" w:line="190" w:lineRule="exact"/>
        <w:rPr>
          <w:sz w:val="20"/>
          <w:szCs w:val="20"/>
          <w:color w:val="auto"/>
        </w:rPr>
      </w:pPr>
    </w:p>
    <w:p>
      <w:pPr>
        <w:ind w:left="660" w:hanging="328"/>
        <w:spacing w:after="0" w:line="292"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32.2 (the “Periodic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 E. Krognes</w:t>
            </w:r>
          </w:p>
        </w:tc>
      </w:tr>
      <w:tr>
        <w:trPr>
          <w:trHeight w:val="247"/>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20"/>
              <w:spacing w:after="0"/>
              <w:rPr>
                <w:sz w:val="20"/>
                <w:szCs w:val="20"/>
                <w:color w:val="auto"/>
              </w:rPr>
            </w:pPr>
            <w:r>
              <w:rPr>
                <w:rFonts w:ascii="Arial" w:cs="Arial" w:eastAsia="Arial" w:hAnsi="Arial"/>
                <w:sz w:val="18"/>
                <w:szCs w:val="18"/>
                <w:color w:val="auto"/>
              </w:rPr>
              <w:t>Steve E. Krognes</w:t>
            </w: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upperLetter"/>
      <w:start w:val="54"/>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lvl w:ilvl="1">
      <w:lvlJc w:val="left"/>
      <w:lvlText w:val="\endash "/>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upperLetter"/>
      <w:start w:val="54"/>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2019-12-28T02:14:48Z</dcterms:created>
  <dcterms:modified xsi:type="dcterms:W3CDTF">2019-12-28T02:14:48Z</dcterms:modified>
</cp:coreProperties>
</file>