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08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8571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Klein Peter 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DENALI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161 OYSTER POINT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Denali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DNLI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9"/>
          </w:tcPr>
          <w:p>
            <w:pPr>
              <w:jc w:val="center"/>
              <w:ind w:right="35"/>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06/03/2026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1"/>
              </w:rPr>
              <w:t>6,408</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33,941</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19.66</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06/03/2026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19,226</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06/03/2036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19,226</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19,226</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5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is represented by a Restricted Stock Unit ("RSU") and a contingent right to receive one share of common stock of the Issuer. 100% of the RSUs shall vest upon the earlier of (i) the one year anniversary of the grant date or (ii) the day preceding the Issuer's next annual meeting of stockholders occurring after the grant date.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6,408 unvested RSUs.</w:t>
      </w:r>
    </w:p>
    <w:p>
      <w:pPr>
        <w:spacing w:after="0" w:line="43" w:lineRule="exact"/>
        <w:rPr>
          <w:rFonts w:ascii="Times New Roman" w:cs="Times New Roman" w:eastAsia="Times New Roman" w:hAnsi="Times New Roman"/>
          <w:sz w:val="13"/>
          <w:szCs w:val="13"/>
          <w:color w:val="008000"/>
        </w:rPr>
      </w:pPr>
    </w:p>
    <w:p>
      <w:pPr>
        <w:ind w:left="40" w:right="2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shares subject to the option shall vest upon the earlier of (i) the one year anniversary of the grant date or (ii) the day preceding the Issuer's next annual meeting of stockholders occurring after the grant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Tyler Nielsen, by power of</w:t>
            </w:r>
          </w:p>
        </w:tc>
        <w:tc>
          <w:tcPr>
            <w:tcW w:w="2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06/05/2026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78007" TargetMode="External"/><Relationship Id="rId14" Type="http://schemas.openxmlformats.org/officeDocument/2006/relationships/hyperlink" Target="http://www.sec.gov/cgi-bin/browse-edgar?action=getcompany&amp;CIK=00017148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2026-06-05T15:56:44Z</dcterms:created>
  <dcterms:modified xsi:type="dcterms:W3CDTF">2026-06-05T15:56:44Z</dcterms:modified>
</cp:coreProperties>
</file>