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ind w:left="4240"/>
        <w:spacing w:after="0"/>
        <w:rPr>
          <w:sz w:val="20"/>
          <w:szCs w:val="20"/>
          <w:color w:val="auto"/>
        </w:rPr>
      </w:pPr>
      <w:r>
        <w:rPr>
          <w:rFonts w:ascii="Arial" w:cs="Arial" w:eastAsia="Arial" w:hAnsi="Arial"/>
          <w:sz w:val="13"/>
          <w:szCs w:val="13"/>
          <w:color w:val="auto"/>
        </w:rPr>
        <w:t>________________________________________</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109"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spacing w:after="0" w:line="26" w:lineRule="exact"/>
        <w:rPr>
          <w:sz w:val="24"/>
          <w:szCs w:val="24"/>
          <w:color w:val="auto"/>
        </w:rPr>
      </w:pPr>
    </w:p>
    <w:p>
      <w:pPr>
        <w:ind w:left="4240"/>
        <w:spacing w:after="0"/>
        <w:rPr>
          <w:sz w:val="20"/>
          <w:szCs w:val="20"/>
          <w:color w:val="auto"/>
        </w:rPr>
      </w:pPr>
      <w:r>
        <w:rPr>
          <w:rFonts w:ascii="Arial" w:cs="Arial" w:eastAsia="Arial" w:hAnsi="Arial"/>
          <w:sz w:val="13"/>
          <w:szCs w:val="13"/>
          <w:color w:val="auto"/>
        </w:rPr>
        <w:t>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4"/>
          <w:szCs w:val="14"/>
          <w:b w:val="1"/>
          <w:bCs w:val="1"/>
          <w:color w:val="auto"/>
        </w:rPr>
        <w:t>x</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4"/>
          <w:szCs w:val="14"/>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Preliminary Proxy Statement</w:t>
      </w:r>
    </w:p>
    <w:p>
      <w:pPr>
        <w:spacing w:after="0" w:line="31" w:lineRule="exact"/>
        <w:rPr>
          <w:rFonts w:ascii="MS PGothic" w:cs="MS PGothic" w:eastAsia="MS PGothic" w:hAnsi="MS PGothic"/>
          <w:sz w:val="14"/>
          <w:szCs w:val="14"/>
          <w:color w:val="auto"/>
        </w:rPr>
      </w:pPr>
    </w:p>
    <w:p>
      <w:pPr>
        <w:ind w:left="80" w:right="3019" w:firstLine="16"/>
        <w:spacing w:after="0" w:line="230" w:lineRule="exact"/>
        <w:tabs>
          <w:tab w:leader="none" w:pos="329" w:val="left"/>
        </w:tabs>
        <w:numPr>
          <w:ilvl w:val="0"/>
          <w:numId w:val="1"/>
        </w:numPr>
        <w:rPr>
          <w:rFonts w:ascii="MS PGothic" w:cs="MS PGothic" w:eastAsia="MS PGothic" w:hAnsi="MS PGothic"/>
          <w:sz w:val="14"/>
          <w:szCs w:val="14"/>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6(e)(2)) </w:t>
      </w:r>
      <w:r>
        <w:rPr>
          <w:rFonts w:ascii="Wingdings" w:cs="Wingdings" w:eastAsia="Wingdings" w:hAnsi="Wingdings"/>
          <w:sz w:val="14"/>
          <w:szCs w:val="14"/>
          <w:b w:val="1"/>
          <w:bCs w:val="1"/>
          <w:color w:val="auto"/>
        </w:rPr>
        <w:t xml:space="preserve">x </w:t>
      </w:r>
      <w:r>
        <w:rPr>
          <w:rFonts w:ascii="Arial" w:cs="Arial" w:eastAsia="Arial" w:hAnsi="Arial"/>
          <w:sz w:val="17"/>
          <w:szCs w:val="17"/>
          <w:color w:val="auto"/>
        </w:rPr>
        <w:t>Definitive Proxy Statement</w:t>
      </w:r>
    </w:p>
    <w:p>
      <w:pPr>
        <w:ind w:left="340" w:hanging="244"/>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4"/>
          <w:szCs w:val="14"/>
          <w:color w:val="auto"/>
        </w:rPr>
      </w:pPr>
    </w:p>
    <w:p>
      <w:pPr>
        <w:ind w:left="340" w:hanging="244"/>
        <w:spacing w:after="0" w:line="207" w:lineRule="exact"/>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Soliciting Material Pursuant to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58"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Denali Therapeutics Inc.</w:t>
      </w:r>
    </w:p>
    <w:p>
      <w:pPr>
        <w:spacing w:after="0" w:line="53" w:lineRule="exact"/>
        <w:rPr>
          <w:sz w:val="24"/>
          <w:szCs w:val="24"/>
          <w:color w:val="auto"/>
        </w:rPr>
      </w:pPr>
    </w:p>
    <w:p>
      <w:pPr>
        <w:ind w:left="372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360" w:hanging="259"/>
        <w:spacing w:after="0"/>
        <w:tabs>
          <w:tab w:leader="none" w:pos="360" w:val="left"/>
        </w:tabs>
        <w:numPr>
          <w:ilvl w:val="0"/>
          <w:numId w:val="2"/>
        </w:numPr>
        <w:rPr>
          <w:rFonts w:ascii="Wingdings" w:cs="Wingdings" w:eastAsia="Wingdings" w:hAnsi="Wingdings"/>
          <w:sz w:val="14"/>
          <w:szCs w:val="14"/>
          <w:b w:val="1"/>
          <w:bCs w:val="1"/>
          <w:color w:val="auto"/>
        </w:rPr>
      </w:pPr>
      <w:r>
        <w:rPr>
          <w:rFonts w:ascii="Arial" w:cs="Arial" w:eastAsia="Arial" w:hAnsi="Arial"/>
          <w:sz w:val="18"/>
          <w:szCs w:val="18"/>
          <w:color w:val="auto"/>
        </w:rPr>
        <w:t>No fee required</w:t>
      </w:r>
    </w:p>
    <w:p>
      <w:pPr>
        <w:ind w:left="360" w:hanging="251"/>
        <w:spacing w:after="0" w:line="216" w:lineRule="auto"/>
        <w:tabs>
          <w:tab w:leader="none" w:pos="360" w:val="left"/>
        </w:tabs>
        <w:numPr>
          <w:ilvl w:val="0"/>
          <w:numId w:val="3"/>
        </w:numPr>
        <w:rPr>
          <w:rFonts w:ascii="MS PGothic" w:cs="MS PGothic" w:eastAsia="MS PGothic" w:hAnsi="MS PGothic"/>
          <w:sz w:val="29"/>
          <w:szCs w:val="29"/>
          <w:color w:val="auto"/>
          <w:vertAlign w:val="superscript"/>
        </w:rPr>
      </w:pPr>
      <w:r>
        <w:rPr>
          <w:rFonts w:ascii="Arial" w:cs="Arial" w:eastAsia="Arial" w:hAnsi="Arial"/>
          <w:sz w:val="18"/>
          <w:szCs w:val="18"/>
          <w:color w:val="auto"/>
        </w:rPr>
        <w:t>Fee paid previously with preliminary materials</w:t>
      </w:r>
    </w:p>
    <w:p>
      <w:pPr>
        <w:spacing w:after="0" w:line="9" w:lineRule="exact"/>
        <w:rPr>
          <w:rFonts w:ascii="MS PGothic" w:cs="MS PGothic" w:eastAsia="MS PGothic" w:hAnsi="MS PGothic"/>
          <w:sz w:val="29"/>
          <w:szCs w:val="29"/>
          <w:color w:val="auto"/>
          <w:vertAlign w:val="superscript"/>
        </w:rPr>
      </w:pPr>
    </w:p>
    <w:p>
      <w:pPr>
        <w:ind w:left="360" w:hanging="251"/>
        <w:spacing w:after="0" w:line="182" w:lineRule="auto"/>
        <w:tabs>
          <w:tab w:leader="none" w:pos="360" w:val="left"/>
        </w:tabs>
        <w:numPr>
          <w:ilvl w:val="0"/>
          <w:numId w:val="3"/>
        </w:numPr>
        <w:rPr>
          <w:rFonts w:ascii="MS PGothic" w:cs="MS PGothic" w:eastAsia="MS PGothic" w:hAnsi="MS PGothic"/>
          <w:sz w:val="29"/>
          <w:szCs w:val="29"/>
          <w:color w:val="auto"/>
          <w:vertAlign w:val="superscript"/>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DENALI THERAPEUTICS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8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I am pleased to invite you to attend the 2025 Annual Meeting of Stockholders (the “Annual Meeting”) of Denali Therapeutics Inc. (“Denali”), which will be held virtually via live webcast on June 3, 2025 at 10:00 a.m. Pacific Time. You can attend the virtual Annual Meeting via the Internet at www.virtualshareholdermeeting.com/DNLI2025, where you will be able to vote and submit questions electronically during the Annual Meeting.</w:t>
      </w:r>
    </w:p>
    <w:p>
      <w:pPr>
        <w:spacing w:after="0" w:line="149" w:lineRule="exact"/>
        <w:rPr>
          <w:sz w:val="20"/>
          <w:szCs w:val="20"/>
          <w:color w:val="auto"/>
        </w:rPr>
      </w:pPr>
    </w:p>
    <w:p>
      <w:pPr>
        <w:ind w:right="260" w:firstLine="486"/>
        <w:spacing w:after="0" w:line="287" w:lineRule="auto"/>
        <w:rPr>
          <w:sz w:val="20"/>
          <w:szCs w:val="20"/>
          <w:color w:val="auto"/>
        </w:rPr>
      </w:pPr>
      <w:r>
        <w:rPr>
          <w:rFonts w:ascii="Arial" w:cs="Arial" w:eastAsia="Arial" w:hAnsi="Arial"/>
          <w:sz w:val="18"/>
          <w:szCs w:val="18"/>
          <w:color w:val="auto"/>
        </w:rPr>
        <w:t>The attached Notice of Annual Meeting of Stockholders and proxy statement contain details of the business to be conducted at the Annual Meeting.</w:t>
      </w:r>
    </w:p>
    <w:p>
      <w:pPr>
        <w:spacing w:after="0" w:line="112"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Whether or not you attend the virtual Annual Meeting, it is important that your shares be represented and voted at the meeting. Therefore, I urge you to promptly vote and submit your proxy via the Internet, by phone or by mail. If you decide to attend the virtual Annual Meeting, you will be able to vote electronically, even if you have previously submitted your proxy.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behalf of the board of directors, I would like to express our appreciation for your interest in Denali.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172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3257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Ryan J. Watts, Ph.D.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Time and Date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80"/>
        <w:spacing w:after="0"/>
        <w:rPr>
          <w:sz w:val="20"/>
          <w:szCs w:val="20"/>
          <w:color w:val="auto"/>
        </w:rPr>
      </w:pPr>
      <w:r>
        <w:rPr>
          <w:rFonts w:ascii="Arial" w:cs="Arial" w:eastAsia="Arial" w:hAnsi="Arial"/>
          <w:sz w:val="18"/>
          <w:szCs w:val="18"/>
          <w:b w:val="1"/>
          <w:bCs w:val="1"/>
          <w:color w:val="auto"/>
        </w:rPr>
        <w:t>DENALI THERAPEUTICS INC.</w:t>
      </w:r>
    </w:p>
    <w:p>
      <w:pPr>
        <w:spacing w:after="0" w:line="27" w:lineRule="exact"/>
        <w:rPr>
          <w:sz w:val="20"/>
          <w:szCs w:val="20"/>
          <w:color w:val="auto"/>
        </w:rPr>
      </w:pPr>
    </w:p>
    <w:p>
      <w:pPr>
        <w:jc w:val="center"/>
        <w:ind w:right="2580"/>
        <w:spacing w:after="0"/>
        <w:rPr>
          <w:sz w:val="20"/>
          <w:szCs w:val="20"/>
          <w:color w:val="auto"/>
        </w:rPr>
      </w:pPr>
      <w:r>
        <w:rPr>
          <w:rFonts w:ascii="Arial" w:cs="Arial" w:eastAsia="Arial" w:hAnsi="Arial"/>
          <w:sz w:val="18"/>
          <w:szCs w:val="18"/>
          <w:b w:val="1"/>
          <w:bCs w:val="1"/>
          <w:color w:val="auto"/>
        </w:rPr>
        <w:t>161 Oyster Point Blvd.</w:t>
      </w:r>
    </w:p>
    <w:p>
      <w:pPr>
        <w:spacing w:after="0" w:line="9" w:lineRule="exact"/>
        <w:rPr>
          <w:sz w:val="20"/>
          <w:szCs w:val="20"/>
          <w:color w:val="auto"/>
        </w:rPr>
      </w:pPr>
    </w:p>
    <w:p>
      <w:pPr>
        <w:jc w:val="center"/>
        <w:ind w:right="258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31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June 3, 2025 at 10:00 a.m. Pacific Time</w:t>
      </w:r>
    </w:p>
    <w:p>
      <w:pPr>
        <w:spacing w:after="0" w:line="198" w:lineRule="exact"/>
        <w:rPr>
          <w:sz w:val="20"/>
          <w:szCs w:val="20"/>
          <w:color w:val="auto"/>
        </w:rPr>
      </w:pPr>
    </w:p>
    <w:p>
      <w:pPr>
        <w:ind w:right="1940"/>
        <w:spacing w:after="0" w:line="257" w:lineRule="auto"/>
        <w:rPr>
          <w:sz w:val="20"/>
          <w:szCs w:val="20"/>
          <w:color w:val="auto"/>
        </w:rPr>
      </w:pPr>
      <w:r>
        <w:rPr>
          <w:rFonts w:ascii="Arial" w:cs="Arial" w:eastAsia="Arial" w:hAnsi="Arial"/>
          <w:sz w:val="18"/>
          <w:szCs w:val="18"/>
          <w:color w:val="auto"/>
        </w:rPr>
        <w:t>The Annual Meeting will be a completely virtual meeting of stockholders to be conducted via live webcast. You will be able to attend the virtual Annual Meeting by accessing www.virtualshareholdermeeting.com/DNLI2025. You will need the 16-digit control number found on your Notice of Internet Availability, your proxy card or on the instructions that accompany your proxy materials to participate in the Annual Meeting and vote your shares electronically.</w:t>
      </w:r>
    </w:p>
    <w:p>
      <w:pPr>
        <w:spacing w:after="0" w:line="182" w:lineRule="exact"/>
        <w:rPr>
          <w:sz w:val="20"/>
          <w:szCs w:val="20"/>
          <w:color w:val="auto"/>
        </w:rPr>
      </w:pPr>
    </w:p>
    <w:p>
      <w:pPr>
        <w:ind w:left="480" w:hanging="32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from the nominees described in this proxy statement.</w:t>
      </w:r>
    </w:p>
    <w:p>
      <w:pPr>
        <w:spacing w:after="0" w:line="252" w:lineRule="exact"/>
        <w:rPr>
          <w:rFonts w:ascii="Arial" w:cs="Arial" w:eastAsia="Arial" w:hAnsi="Arial"/>
          <w:sz w:val="18"/>
          <w:szCs w:val="18"/>
          <w:color w:val="auto"/>
        </w:rPr>
      </w:pPr>
    </w:p>
    <w:p>
      <w:pPr>
        <w:ind w:left="480" w:right="2200" w:hanging="327"/>
        <w:spacing w:after="0" w:line="318" w:lineRule="auto"/>
        <w:tabs>
          <w:tab w:leader="none" w:pos="47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selection of Ernst &amp; Young LLP as our independent registered public accounting firm for fiscal year ending December 31, 2025.</w:t>
      </w:r>
    </w:p>
    <w:p>
      <w:pPr>
        <w:spacing w:after="0" w:line="156" w:lineRule="exact"/>
        <w:rPr>
          <w:rFonts w:ascii="Arial" w:cs="Arial" w:eastAsia="Arial" w:hAnsi="Arial"/>
          <w:sz w:val="17"/>
          <w:szCs w:val="17"/>
          <w:color w:val="auto"/>
        </w:rPr>
      </w:pPr>
    </w:p>
    <w:p>
      <w:pPr>
        <w:ind w:left="480" w:hanging="32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executive compensation.</w:t>
      </w:r>
    </w:p>
    <w:p>
      <w:pPr>
        <w:spacing w:after="0" w:line="252" w:lineRule="exact"/>
        <w:rPr>
          <w:rFonts w:ascii="Arial" w:cs="Arial" w:eastAsia="Arial" w:hAnsi="Arial"/>
          <w:sz w:val="18"/>
          <w:szCs w:val="18"/>
          <w:color w:val="auto"/>
        </w:rPr>
      </w:pPr>
    </w:p>
    <w:p>
      <w:pPr>
        <w:ind w:left="480" w:right="2580" w:hanging="327"/>
        <w:spacing w:after="0" w:line="287" w:lineRule="auto"/>
        <w:tabs>
          <w:tab w:leader="none" w:pos="4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other business that may properly come before the Annual Meeting.</w:t>
      </w:r>
    </w:p>
    <w:p>
      <w:pPr>
        <w:spacing w:after="0" w:line="200" w:lineRule="exact"/>
        <w:rPr>
          <w:sz w:val="20"/>
          <w:szCs w:val="20"/>
          <w:color w:val="auto"/>
        </w:rPr>
      </w:pPr>
    </w:p>
    <w:p>
      <w:pPr>
        <w:sectPr>
          <w:pgSz w:w="11900" w:h="16838" w:orient="portrait"/>
          <w:cols w:equalWidth="0" w:num="2">
            <w:col w:w="1920" w:space="720"/>
            <w:col w:w="8560"/>
          </w:cols>
          <w:pgMar w:left="320" w:top="364" w:right="379" w:bottom="1440" w:gutter="0" w:footer="0" w:header="0"/>
        </w:sectPr>
      </w:pP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7140" w:type="dxa"/>
            <w:vAlign w:val="bottom"/>
          </w:tcPr>
          <w:p>
            <w:pPr>
              <w:ind w:left="780"/>
              <w:spacing w:after="0"/>
              <w:rPr>
                <w:sz w:val="20"/>
                <w:szCs w:val="20"/>
                <w:color w:val="auto"/>
              </w:rPr>
            </w:pPr>
            <w:r>
              <w:rPr>
                <w:rFonts w:ascii="Arial" w:cs="Arial" w:eastAsia="Arial" w:hAnsi="Arial"/>
                <w:sz w:val="18"/>
                <w:szCs w:val="18"/>
                <w:color w:val="auto"/>
              </w:rPr>
              <w:t>April 9, 2025 (the “Record Date”). Only stockholders of record at the close of</w:t>
            </w:r>
          </w:p>
        </w:tc>
      </w:tr>
      <w:tr>
        <w:trPr>
          <w:trHeight w:val="216"/>
        </w:trPr>
        <w:tc>
          <w:tcPr>
            <w:tcW w:w="1840" w:type="dxa"/>
            <w:vAlign w:val="bottom"/>
          </w:tcPr>
          <w:p>
            <w:pPr>
              <w:spacing w:after="0"/>
              <w:rPr>
                <w:sz w:val="18"/>
                <w:szCs w:val="18"/>
                <w:color w:val="auto"/>
              </w:rPr>
            </w:pPr>
          </w:p>
        </w:tc>
        <w:tc>
          <w:tcPr>
            <w:tcW w:w="7140" w:type="dxa"/>
            <w:vAlign w:val="bottom"/>
          </w:tcPr>
          <w:p>
            <w:pPr>
              <w:ind w:left="780"/>
              <w:spacing w:after="0"/>
              <w:rPr>
                <w:sz w:val="20"/>
                <w:szCs w:val="20"/>
                <w:color w:val="auto"/>
              </w:rPr>
            </w:pPr>
            <w:r>
              <w:rPr>
                <w:rFonts w:ascii="Arial" w:cs="Arial" w:eastAsia="Arial" w:hAnsi="Arial"/>
                <w:sz w:val="18"/>
                <w:szCs w:val="18"/>
                <w:color w:val="auto"/>
                <w:w w:val="99"/>
              </w:rPr>
              <w:t>business on the Record Date are entitled to receive notice of, and to vote at, the</w:t>
            </w:r>
          </w:p>
        </w:tc>
      </w:tr>
      <w:tr>
        <w:trPr>
          <w:trHeight w:val="239"/>
        </w:trPr>
        <w:tc>
          <w:tcPr>
            <w:tcW w:w="1840" w:type="dxa"/>
            <w:vAlign w:val="bottom"/>
          </w:tcPr>
          <w:p>
            <w:pPr>
              <w:spacing w:after="0"/>
              <w:rPr>
                <w:sz w:val="20"/>
                <w:szCs w:val="20"/>
                <w:color w:val="auto"/>
              </w:rPr>
            </w:pPr>
          </w:p>
        </w:tc>
        <w:tc>
          <w:tcPr>
            <w:tcW w:w="7140" w:type="dxa"/>
            <w:vAlign w:val="bottom"/>
          </w:tcPr>
          <w:p>
            <w:pPr>
              <w:ind w:left="780"/>
              <w:spacing w:after="0"/>
              <w:rPr>
                <w:sz w:val="20"/>
                <w:szCs w:val="20"/>
                <w:color w:val="auto"/>
              </w:rPr>
            </w:pPr>
            <w:r>
              <w:rPr>
                <w:rFonts w:ascii="Arial" w:cs="Arial" w:eastAsia="Arial" w:hAnsi="Arial"/>
                <w:sz w:val="18"/>
                <w:szCs w:val="18"/>
                <w:color w:val="auto"/>
              </w:rPr>
              <w:t>Annual Meeting.</w:t>
            </w:r>
          </w:p>
        </w:tc>
      </w:tr>
    </w:tbl>
    <w:p>
      <w:pPr>
        <w:spacing w:after="0" w:line="2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or about April 17, 2025, we expect to mail to our stockholders a Notice of Internet Availability of Proxy Materials (the "Notice") containing instructions on how to access our proxy statement for our annual meeting and our annual report to stockholders, which will be available on our website at https://denalitherapeutics.com/investors in the SEC Filings section of our Investor &amp; Media Relations web page. The Notice, our proxy statement and annual report to stockholders can also be accessed directly at the following website: www.proxyvote.com.</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virtual Annual Meeting, we encourage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Our proxy statement contains further information regarding voting rights and the matters to be voted upon.</w:t>
      </w:r>
    </w:p>
    <w:p>
      <w:pPr>
        <w:spacing w:after="0" w:line="200" w:lineRule="exact"/>
        <w:rPr>
          <w:sz w:val="20"/>
          <w:szCs w:val="20"/>
          <w:color w:val="auto"/>
        </w:rPr>
      </w:pPr>
    </w:p>
    <w:p>
      <w:pPr>
        <w:spacing w:after="0" w:line="39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1285875"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Ryan J. Watts, Ph.D.</w:t>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4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South San Francisco, California</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80" w:type="dxa"/>
            <w:vAlign w:val="bottom"/>
            <w:gridSpan w:val="7"/>
          </w:tcPr>
          <w:p>
            <w:pPr>
              <w:ind w:left="3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80" w:type="dxa"/>
            <w:vAlign w:val="bottom"/>
            <w:gridSpan w:val="11"/>
            <w:vMerge w:val="restart"/>
          </w:tcPr>
          <w:p>
            <w:pPr>
              <w:spacing w:after="0"/>
              <w:rPr>
                <w:sz w:val="20"/>
                <w:szCs w:val="20"/>
                <w:color w:val="auto"/>
              </w:rPr>
            </w:pPr>
            <w:r>
              <w:rPr>
                <w:rFonts w:ascii="Arial" w:cs="Arial" w:eastAsia="Arial" w:hAnsi="Arial"/>
                <w:sz w:val="18"/>
                <w:szCs w:val="18"/>
                <w:color w:val="0000FF"/>
                <w:w w:val="99"/>
              </w:rPr>
              <w:t>QUESTIONS AND ANSWERS ABOUT THE ANNUAL MEETING</w:t>
            </w: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0000FF"/>
            </w:tcBorders>
            <w:gridSpan w:val="11"/>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jc w:val="center"/>
              <w:ind w:left="470"/>
              <w:spacing w:after="0" w:line="184" w:lineRule="exact"/>
              <w:rPr>
                <w:sz w:val="20"/>
                <w:szCs w:val="20"/>
                <w:color w:val="auto"/>
              </w:rPr>
            </w:pPr>
            <w:r>
              <w:rPr>
                <w:rFonts w:ascii="Arial" w:cs="Arial" w:eastAsia="Arial" w:hAnsi="Arial"/>
                <w:sz w:val="18"/>
                <w:szCs w:val="18"/>
                <w:color w:val="0000FF"/>
                <w:w w:val="99"/>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60" w:type="dxa"/>
            <w:vAlign w:val="bottom"/>
            <w:gridSpan w:val="16"/>
          </w:tcPr>
          <w:p>
            <w:pPr>
              <w:spacing w:after="0" w:line="196" w:lineRule="exact"/>
              <w:rPr>
                <w:sz w:val="20"/>
                <w:szCs w:val="20"/>
                <w:color w:val="auto"/>
              </w:rPr>
            </w:pPr>
            <w:r>
              <w:rPr>
                <w:rFonts w:ascii="Arial" w:cs="Arial" w:eastAsia="Arial" w:hAnsi="Arial"/>
                <w:sz w:val="18"/>
                <w:szCs w:val="18"/>
                <w:color w:val="0000FF"/>
              </w:rPr>
              <w:t>BOARD OF DIRECTORS AND CORPORATE GOVERNANCE</w:t>
            </w:r>
          </w:p>
        </w:tc>
        <w:tc>
          <w:tcPr>
            <w:tcW w:w="660" w:type="dxa"/>
            <w:vAlign w:val="bottom"/>
            <w:gridSpan w:val="2"/>
          </w:tcPr>
          <w:p>
            <w:pPr>
              <w:jc w:val="center"/>
              <w:ind w:left="470"/>
              <w:spacing w:after="0" w:line="196" w:lineRule="exact"/>
              <w:rPr>
                <w:sz w:val="20"/>
                <w:szCs w:val="20"/>
                <w:color w:val="auto"/>
              </w:rPr>
            </w:pPr>
            <w:r>
              <w:rPr>
                <w:rFonts w:ascii="Arial" w:cs="Arial" w:eastAsia="Arial" w:hAnsi="Arial"/>
                <w:sz w:val="18"/>
                <w:szCs w:val="18"/>
                <w:color w:val="0000FF"/>
                <w:w w:val="99"/>
              </w:rPr>
              <w:t>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7"/>
          </w:tcPr>
          <w:p>
            <w:pPr>
              <w:spacing w:after="0"/>
              <w:rPr>
                <w:sz w:val="20"/>
                <w:szCs w:val="20"/>
                <w:color w:val="auto"/>
              </w:rPr>
            </w:pPr>
            <w:r>
              <w:rPr>
                <w:rFonts w:ascii="Arial" w:cs="Arial" w:eastAsia="Arial" w:hAnsi="Arial"/>
                <w:sz w:val="18"/>
                <w:szCs w:val="18"/>
                <w:color w:val="0000FF"/>
                <w:w w:val="99"/>
              </w:rPr>
              <w:t>PROPOSAL NO. 1 ELECTION OF DIRECTORS</w:t>
            </w:r>
          </w:p>
        </w:tc>
        <w:tc>
          <w:tcPr>
            <w:tcW w:w="1100" w:type="dxa"/>
            <w:vAlign w:val="bottom"/>
            <w:gridSpan w:val="3"/>
          </w:tcPr>
          <w:p>
            <w:pPr>
              <w:spacing w:after="0"/>
              <w:rPr>
                <w:sz w:val="18"/>
                <w:szCs w:val="18"/>
                <w:color w:val="auto"/>
              </w:rPr>
            </w:pPr>
          </w:p>
        </w:tc>
        <w:tc>
          <w:tcPr>
            <w:tcW w:w="5180" w:type="dxa"/>
            <w:vAlign w:val="bottom"/>
            <w:gridSpan w:val="6"/>
          </w:tcPr>
          <w:p>
            <w:pPr>
              <w:spacing w:after="0"/>
              <w:rPr>
                <w:sz w:val="18"/>
                <w:szCs w:val="1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PROPOSAL NO. 2 RATIFICATION OF APPOINTMENT OF INDEPENDENT REGISTERED PUBLIC ACCOUNTING FIRM</w:t>
            </w:r>
          </w:p>
        </w:tc>
        <w:tc>
          <w:tcPr>
            <w:tcW w:w="420" w:type="dxa"/>
            <w:vAlign w:val="bottom"/>
          </w:tcPr>
          <w:p>
            <w:pPr>
              <w:spacing w:after="0"/>
              <w:rPr>
                <w:sz w:val="19"/>
                <w:szCs w:val="19"/>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25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gridSpan w:val="13"/>
          </w:tcPr>
          <w:p>
            <w:pPr>
              <w:spacing w:after="0" w:line="196" w:lineRule="exact"/>
              <w:rPr>
                <w:sz w:val="20"/>
                <w:szCs w:val="20"/>
                <w:color w:val="auto"/>
              </w:rPr>
            </w:pPr>
            <w:r>
              <w:rPr>
                <w:rFonts w:ascii="Arial" w:cs="Arial" w:eastAsia="Arial" w:hAnsi="Arial"/>
                <w:sz w:val="18"/>
                <w:szCs w:val="18"/>
                <w:color w:val="0000FF"/>
                <w:w w:val="99"/>
              </w:rPr>
              <w:t>PROPOSAL NO. 3 ADVISORY VOTE TO APPROVE EXECUTIVE COMPENSATION</w:t>
            </w:r>
          </w:p>
        </w:tc>
        <w:tc>
          <w:tcPr>
            <w:tcW w:w="3340" w:type="dxa"/>
            <w:vAlign w:val="bottom"/>
            <w:gridSpan w:val="3"/>
          </w:tcPr>
          <w:p>
            <w:pPr>
              <w:spacing w:after="0"/>
              <w:rPr>
                <w:sz w:val="17"/>
                <w:szCs w:val="17"/>
                <w:color w:val="auto"/>
              </w:rPr>
            </w:pPr>
          </w:p>
        </w:tc>
        <w:tc>
          <w:tcPr>
            <w:tcW w:w="820" w:type="dxa"/>
            <w:vAlign w:val="bottom"/>
            <w:gridSpan w:val="3"/>
          </w:tcPr>
          <w:p>
            <w:pPr>
              <w:jc w:val="center"/>
              <w:ind w:left="330"/>
              <w:spacing w:after="0" w:line="196" w:lineRule="exact"/>
              <w:rPr>
                <w:sz w:val="20"/>
                <w:szCs w:val="20"/>
                <w:color w:val="auto"/>
              </w:rPr>
            </w:pPr>
            <w:r>
              <w:rPr>
                <w:rFonts w:ascii="Arial" w:cs="Arial" w:eastAsia="Arial" w:hAnsi="Arial"/>
                <w:sz w:val="18"/>
                <w:szCs w:val="18"/>
                <w:color w:val="0000FF"/>
                <w:w w:val="99"/>
              </w:rPr>
              <w:t>27</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13"/>
          </w:tcPr>
          <w:p>
            <w:pPr>
              <w:spacing w:after="0"/>
              <w:rPr>
                <w:sz w:val="20"/>
                <w:szCs w:val="20"/>
                <w:color w:val="auto"/>
              </w:rPr>
            </w:pPr>
            <w:r>
              <w:rPr>
                <w:rFonts w:ascii="Arial" w:cs="Arial" w:eastAsia="Arial" w:hAnsi="Arial"/>
                <w:sz w:val="18"/>
                <w:szCs w:val="18"/>
                <w:color w:val="0000FF"/>
              </w:rPr>
              <w:t>COMMITTEE REPORTS</w:t>
            </w:r>
          </w:p>
        </w:tc>
        <w:tc>
          <w:tcPr>
            <w:tcW w:w="3340" w:type="dxa"/>
            <w:vAlign w:val="bottom"/>
            <w:gridSpan w:val="3"/>
          </w:tcPr>
          <w:p>
            <w:pPr>
              <w:spacing w:after="0"/>
              <w:rPr>
                <w:sz w:val="18"/>
                <w:szCs w:val="1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28</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8"/>
                <w:szCs w:val="18"/>
                <w:color w:val="0000FF"/>
                <w:w w:val="97"/>
              </w:rPr>
              <w:t>EXECUTIVE OFFICERS</w:t>
            </w:r>
          </w:p>
        </w:tc>
        <w:tc>
          <w:tcPr>
            <w:tcW w:w="8180" w:type="dxa"/>
            <w:vAlign w:val="bottom"/>
            <w:gridSpan w:val="14"/>
          </w:tcPr>
          <w:p>
            <w:pPr>
              <w:spacing w:after="0"/>
              <w:rPr>
                <w:sz w:val="18"/>
                <w:szCs w:val="1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30</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60" w:type="dxa"/>
            <w:vAlign w:val="bottom"/>
            <w:gridSpan w:val="16"/>
          </w:tcPr>
          <w:p>
            <w:pPr>
              <w:spacing w:after="0"/>
              <w:rPr>
                <w:sz w:val="20"/>
                <w:szCs w:val="20"/>
                <w:color w:val="auto"/>
              </w:rPr>
            </w:pPr>
            <w:r>
              <w:rPr>
                <w:rFonts w:ascii="Arial" w:cs="Arial" w:eastAsia="Arial" w:hAnsi="Arial"/>
                <w:sz w:val="18"/>
                <w:szCs w:val="18"/>
                <w:color w:val="0000FF"/>
              </w:rPr>
              <w:t>EXECUTIVE COMPENSATION</w:t>
            </w: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31</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gridSpan w:val="3"/>
          </w:tcPr>
          <w:p>
            <w:pPr>
              <w:spacing w:after="0"/>
              <w:rPr>
                <w:sz w:val="20"/>
                <w:szCs w:val="20"/>
                <w:color w:val="auto"/>
              </w:rPr>
            </w:pPr>
            <w:r>
              <w:rPr>
                <w:rFonts w:ascii="Arial" w:cs="Arial" w:eastAsia="Arial" w:hAnsi="Arial"/>
                <w:sz w:val="18"/>
                <w:szCs w:val="18"/>
                <w:color w:val="0000FF"/>
                <w:w w:val="98"/>
              </w:rPr>
              <w:t>DIRECTOR COMPENSATION</w:t>
            </w:r>
          </w:p>
        </w:tc>
        <w:tc>
          <w:tcPr>
            <w:tcW w:w="80" w:type="dxa"/>
            <w:vAlign w:val="bottom"/>
          </w:tcPr>
          <w:p>
            <w:pPr>
              <w:spacing w:after="0"/>
              <w:rPr>
                <w:sz w:val="18"/>
                <w:szCs w:val="18"/>
                <w:color w:val="auto"/>
              </w:rPr>
            </w:pPr>
          </w:p>
        </w:tc>
        <w:tc>
          <w:tcPr>
            <w:tcW w:w="7640" w:type="dxa"/>
            <w:vAlign w:val="bottom"/>
            <w:gridSpan w:val="12"/>
          </w:tcPr>
          <w:p>
            <w:pPr>
              <w:spacing w:after="0"/>
              <w:rPr>
                <w:sz w:val="18"/>
                <w:szCs w:val="1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55</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gridSpan w:val="16"/>
          </w:tcPr>
          <w:p>
            <w:pPr>
              <w:spacing w:after="0"/>
              <w:rPr>
                <w:sz w:val="20"/>
                <w:szCs w:val="20"/>
                <w:color w:val="auto"/>
              </w:rPr>
            </w:pPr>
            <w:r>
              <w:rPr>
                <w:rFonts w:ascii="Arial" w:cs="Arial" w:eastAsia="Arial" w:hAnsi="Arial"/>
                <w:sz w:val="18"/>
                <w:szCs w:val="18"/>
                <w:color w:val="0000FF"/>
              </w:rPr>
              <w:t>EQUITY COMPENSATION PLAN INFORMATION</w:t>
            </w: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58</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60" w:type="dxa"/>
            <w:vAlign w:val="bottom"/>
            <w:gridSpan w:val="16"/>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59</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5"/>
          </w:tcPr>
          <w:p>
            <w:pPr>
              <w:spacing w:after="0"/>
              <w:rPr>
                <w:sz w:val="20"/>
                <w:szCs w:val="20"/>
                <w:color w:val="auto"/>
              </w:rPr>
            </w:pPr>
            <w:r>
              <w:rPr>
                <w:rFonts w:ascii="Arial" w:cs="Arial" w:eastAsia="Arial" w:hAnsi="Arial"/>
                <w:sz w:val="18"/>
                <w:szCs w:val="18"/>
                <w:color w:val="0000FF"/>
                <w:w w:val="99"/>
              </w:rPr>
              <w:t>RELATED PERSON TRANSACTIONS</w:t>
            </w:r>
          </w:p>
        </w:tc>
        <w:tc>
          <w:tcPr>
            <w:tcW w:w="3820" w:type="dxa"/>
            <w:vAlign w:val="bottom"/>
            <w:gridSpan w:val="9"/>
          </w:tcPr>
          <w:p>
            <w:pPr>
              <w:spacing w:after="0"/>
              <w:rPr>
                <w:sz w:val="18"/>
                <w:szCs w:val="18"/>
                <w:color w:val="auto"/>
              </w:rPr>
            </w:pPr>
          </w:p>
        </w:tc>
        <w:tc>
          <w:tcPr>
            <w:tcW w:w="3240" w:type="dxa"/>
            <w:vAlign w:val="bottom"/>
            <w:gridSpan w:val="2"/>
          </w:tcPr>
          <w:p>
            <w:pPr>
              <w:spacing w:after="0"/>
              <w:rPr>
                <w:sz w:val="18"/>
                <w:szCs w:val="1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62</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8"/>
                <w:szCs w:val="18"/>
                <w:color w:val="0000FF"/>
                <w:w w:val="98"/>
              </w:rPr>
              <w:t>OTHER MATTERS</w:t>
            </w:r>
          </w:p>
        </w:tc>
        <w:tc>
          <w:tcPr>
            <w:tcW w:w="1560" w:type="dxa"/>
            <w:vAlign w:val="bottom"/>
            <w:gridSpan w:val="4"/>
          </w:tcPr>
          <w:p>
            <w:pPr>
              <w:spacing w:after="0"/>
              <w:rPr>
                <w:sz w:val="18"/>
                <w:szCs w:val="18"/>
                <w:color w:val="auto"/>
              </w:rPr>
            </w:pPr>
          </w:p>
        </w:tc>
        <w:tc>
          <w:tcPr>
            <w:tcW w:w="7060" w:type="dxa"/>
            <w:vAlign w:val="bottom"/>
            <w:gridSpan w:val="11"/>
          </w:tcPr>
          <w:p>
            <w:pPr>
              <w:spacing w:after="0"/>
              <w:rPr>
                <w:sz w:val="18"/>
                <w:szCs w:val="1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64</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60" w:type="dxa"/>
            <w:vAlign w:val="bottom"/>
            <w:gridSpan w:val="16"/>
          </w:tcPr>
          <w:p>
            <w:pPr>
              <w:spacing w:after="0"/>
              <w:rPr>
                <w:sz w:val="20"/>
                <w:szCs w:val="20"/>
                <w:color w:val="auto"/>
              </w:rPr>
            </w:pPr>
            <w:r>
              <w:rPr>
                <w:rFonts w:ascii="Arial" w:cs="Arial" w:eastAsia="Arial" w:hAnsi="Arial"/>
                <w:sz w:val="18"/>
                <w:szCs w:val="18"/>
                <w:color w:val="0000FF"/>
              </w:rPr>
              <w:t>DELINQUENT SECTION 16(A) REPORTS</w:t>
            </w: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65</w:t>
            </w:r>
          </w:p>
        </w:tc>
        <w:tc>
          <w:tcPr>
            <w:tcW w:w="0" w:type="dxa"/>
            <w:vAlign w:val="bottom"/>
          </w:tcPr>
          <w:p>
            <w:pPr>
              <w:spacing w:after="0"/>
              <w:rPr>
                <w:sz w:val="1"/>
                <w:szCs w:val="1"/>
                <w:color w:val="auto"/>
              </w:rPr>
            </w:pPr>
          </w:p>
        </w:tc>
      </w:tr>
      <w:tr>
        <w:trPr>
          <w:trHeight w:val="20"/>
        </w:trPr>
        <w:tc>
          <w:tcPr>
            <w:tcW w:w="3420" w:type="dxa"/>
            <w:vAlign w:val="bottom"/>
            <w:gridSpan w:val="6"/>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gridSpan w:val="16"/>
          </w:tcPr>
          <w:p>
            <w:pPr>
              <w:spacing w:after="0"/>
              <w:rPr>
                <w:sz w:val="20"/>
                <w:szCs w:val="20"/>
                <w:color w:val="auto"/>
              </w:rPr>
            </w:pPr>
            <w:r>
              <w:rPr>
                <w:rFonts w:ascii="Arial" w:cs="Arial" w:eastAsia="Arial" w:hAnsi="Arial"/>
                <w:sz w:val="18"/>
                <w:szCs w:val="18"/>
                <w:color w:val="0000FF"/>
              </w:rPr>
              <w:t>PROPOSALS OF STOCKHOLDERS FOR 2026 ANNUAL MEETING</w:t>
            </w: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66</w:t>
            </w:r>
          </w:p>
        </w:tc>
        <w:tc>
          <w:tcPr>
            <w:tcW w:w="0" w:type="dxa"/>
            <w:vAlign w:val="bottom"/>
          </w:tcPr>
          <w:p>
            <w:pPr>
              <w:spacing w:after="0"/>
              <w:rPr>
                <w:sz w:val="1"/>
                <w:szCs w:val="1"/>
                <w:color w:val="auto"/>
              </w:rPr>
            </w:pPr>
          </w:p>
        </w:tc>
      </w:tr>
      <w:tr>
        <w:trPr>
          <w:trHeight w:val="20"/>
        </w:trPr>
        <w:tc>
          <w:tcPr>
            <w:tcW w:w="4280" w:type="dxa"/>
            <w:vAlign w:val="bottom"/>
            <w:gridSpan w:val="9"/>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9"/>
          </w:tcPr>
          <w:p>
            <w:pPr>
              <w:spacing w:after="0"/>
              <w:rPr>
                <w:sz w:val="20"/>
                <w:szCs w:val="20"/>
                <w:color w:val="auto"/>
              </w:rPr>
            </w:pPr>
            <w:r>
              <w:rPr>
                <w:rFonts w:ascii="Arial" w:cs="Arial" w:eastAsia="Arial" w:hAnsi="Arial"/>
                <w:sz w:val="18"/>
                <w:szCs w:val="18"/>
                <w:color w:val="0000FF"/>
                <w:w w:val="99"/>
              </w:rPr>
              <w:t>ADMISSION TICKET AND VOTING INSTRUCTIONS</w:t>
            </w:r>
          </w:p>
        </w:tc>
        <w:tc>
          <w:tcPr>
            <w:tcW w:w="1200" w:type="dxa"/>
            <w:vAlign w:val="bottom"/>
            <w:gridSpan w:val="3"/>
          </w:tcPr>
          <w:p>
            <w:pPr>
              <w:spacing w:after="0"/>
              <w:rPr>
                <w:sz w:val="18"/>
                <w:szCs w:val="18"/>
                <w:color w:val="auto"/>
              </w:rPr>
            </w:pPr>
          </w:p>
        </w:tc>
        <w:tc>
          <w:tcPr>
            <w:tcW w:w="4680" w:type="dxa"/>
            <w:vAlign w:val="bottom"/>
            <w:gridSpan w:val="4"/>
          </w:tcPr>
          <w:p>
            <w:pPr>
              <w:spacing w:after="0"/>
              <w:rPr>
                <w:sz w:val="18"/>
                <w:szCs w:val="18"/>
                <w:color w:val="auto"/>
              </w:rPr>
            </w:pPr>
          </w:p>
        </w:tc>
        <w:tc>
          <w:tcPr>
            <w:tcW w:w="820" w:type="dxa"/>
            <w:vAlign w:val="bottom"/>
            <w:gridSpan w:val="3"/>
          </w:tcPr>
          <w:p>
            <w:pPr>
              <w:jc w:val="center"/>
              <w:ind w:left="330"/>
              <w:spacing w:after="0"/>
              <w:rPr>
                <w:sz w:val="20"/>
                <w:szCs w:val="20"/>
                <w:color w:val="auto"/>
              </w:rPr>
            </w:pPr>
            <w:r>
              <w:rPr>
                <w:rFonts w:ascii="Arial" w:cs="Arial" w:eastAsia="Arial" w:hAnsi="Arial"/>
                <w:sz w:val="18"/>
                <w:szCs w:val="18"/>
                <w:color w:val="0000FF"/>
                <w:w w:val="99"/>
              </w:rPr>
              <w:t>67</w:t>
            </w:r>
          </w:p>
        </w:tc>
        <w:tc>
          <w:tcPr>
            <w:tcW w:w="0" w:type="dxa"/>
            <w:vAlign w:val="bottom"/>
          </w:tcPr>
          <w:p>
            <w:pPr>
              <w:spacing w:after="0"/>
              <w:rPr>
                <w:sz w:val="1"/>
                <w:szCs w:val="1"/>
                <w:color w:val="auto"/>
              </w:rPr>
            </w:pPr>
          </w:p>
        </w:tc>
      </w:tr>
      <w:tr>
        <w:trPr>
          <w:trHeight w:val="20"/>
        </w:trPr>
        <w:tc>
          <w:tcPr>
            <w:tcW w:w="1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233045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417"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DENALI THERAPEUTICS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2025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10:00 a.m. Pacific Time on June 3, 2025</w:t>
      </w:r>
    </w:p>
    <w:p>
      <w:pPr>
        <w:spacing w:after="0" w:line="23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This proxy statement and form of proxy are furnished in connection with the solicitation of proxies by our board of directors (the “Board”) for use at our 2025 Annual Meeting of Stockholders (the “Annual Meeting”), and any postponements, adjournments, or continuations thereof. Stockholders will not be able to physically attend the Annual Meeting. The Annual Meeting will be held virtually via live webcast on June 3, 2025 at 10:00 a.m. Pacific Time. You will be able to attend the virtual Annual Meeting by accessing www.virtualshareholdermeeting.com/DNLI2025 and entering the 16-digit control number found on your Notice of Internet Availability, your proxy card or on the instructions that accompany your proxy materials. The virtual format of the Annual Meeting allows us to preserve stockholder access while also saving time and money for both us and our stockholders. The Notice of Internet Availability of Proxy Materials (the “Notice”) containing instructions on how to access this proxy statement and our annual report is first being mailed on or about April 17, 2025 to all stockholders entitled to vote at the virtual Annual Meeting. If you receive a Notice by mail, you will not receive a printed copy of the proxy materials in the mail unless you specifically request these materials.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185" w:lineRule="exact"/>
        <w:rPr>
          <w:sz w:val="20"/>
          <w:szCs w:val="20"/>
          <w:color w:val="auto"/>
        </w:rPr>
      </w:pPr>
    </w:p>
    <w:p>
      <w:pPr>
        <w:ind w:right="100" w:firstLine="486"/>
        <w:spacing w:after="0" w:line="318" w:lineRule="auto"/>
        <w:rPr>
          <w:sz w:val="20"/>
          <w:szCs w:val="20"/>
          <w:color w:val="auto"/>
        </w:rPr>
      </w:pPr>
      <w:r>
        <w:rPr>
          <w:rFonts w:ascii="Arial" w:cs="Arial" w:eastAsia="Arial" w:hAnsi="Arial"/>
          <w:sz w:val="17"/>
          <w:szCs w:val="17"/>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85" w:lineRule="exact"/>
        <w:rPr>
          <w:sz w:val="20"/>
          <w:szCs w:val="20"/>
          <w:color w:val="auto"/>
        </w:rPr>
      </w:pPr>
    </w:p>
    <w:p>
      <w:pPr>
        <w:ind w:right="400" w:firstLine="486"/>
        <w:spacing w:after="0" w:line="268" w:lineRule="auto"/>
        <w:rPr>
          <w:sz w:val="20"/>
          <w:szCs w:val="20"/>
          <w:color w:val="auto"/>
        </w:rPr>
      </w:pPr>
      <w:r>
        <w:rPr>
          <w:rFonts w:ascii="Arial" w:cs="Arial" w:eastAsia="Arial" w:hAnsi="Arial"/>
          <w:sz w:val="18"/>
          <w:szCs w:val="18"/>
          <w:color w:val="auto"/>
        </w:rPr>
        <w:t>The Board is providing these proxy materials to you in connection with the Board’s solicitation of proxies for use at Denali’s Annual Meeting, which will take place on June 3, 2025. Stockholders are invited to attend the Annual Meeting and are requested to vote on the proposals described in this proxy statement.</w:t>
      </w:r>
    </w:p>
    <w:p>
      <w:pPr>
        <w:spacing w:after="0" w:line="130"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All stockholders will have the ability to access the proxy materials via the Internet, including this proxy statement and our Annual Report on Form 10-K for the fiscal year ended December 31, 2024 (the “Annual Report”), as filed with the U.S. Securities and Exchange Commission (the “SEC”) on February 27, 2025. The Notice includes information on how to access the proxy materials, how to submit your vote over the Internet, by phone, or how to request a paper copy of the proxy materials. This proxy statement and the Annual Report are available at www.proxyvote.com.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185" w:lineRule="exact"/>
        <w:rPr>
          <w:sz w:val="20"/>
          <w:szCs w:val="20"/>
          <w:color w:val="auto"/>
        </w:rPr>
      </w:pPr>
    </w:p>
    <w:p>
      <w:pPr>
        <w:ind w:left="1800" w:right="800" w:hanging="496"/>
        <w:spacing w:after="0" w:line="287"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 directors to hold office until the 2028 annual meeting of stockholders or until their successors are duly elected and qualified;</w:t>
      </w:r>
    </w:p>
    <w:p>
      <w:pPr>
        <w:spacing w:after="0" w:line="125" w:lineRule="exact"/>
        <w:rPr>
          <w:rFonts w:ascii="Arial" w:cs="Arial" w:eastAsia="Arial" w:hAnsi="Arial"/>
          <w:sz w:val="18"/>
          <w:szCs w:val="18"/>
          <w:color w:val="auto"/>
        </w:rPr>
      </w:pPr>
    </w:p>
    <w:p>
      <w:pPr>
        <w:ind w:left="1800" w:right="220" w:hanging="496"/>
        <w:spacing w:after="0" w:line="287"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our fiscal year ending December 31, 2025; and</w:t>
      </w:r>
    </w:p>
    <w:p>
      <w:pPr>
        <w:spacing w:after="0" w:line="112" w:lineRule="exact"/>
        <w:rPr>
          <w:rFonts w:ascii="Arial" w:cs="Arial" w:eastAsia="Arial" w:hAnsi="Arial"/>
          <w:sz w:val="18"/>
          <w:szCs w:val="18"/>
          <w:color w:val="auto"/>
        </w:rPr>
      </w:pPr>
    </w:p>
    <w:p>
      <w:pPr>
        <w:ind w:left="1780" w:hanging="476"/>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an advisory basis, of executive compensation, as described in this proxy statement.</w:t>
      </w:r>
    </w:p>
    <w:p>
      <w:pPr>
        <w:spacing w:after="0" w:line="185" w:lineRule="exact"/>
        <w:rPr>
          <w:sz w:val="20"/>
          <w:szCs w:val="20"/>
          <w:color w:val="auto"/>
        </w:rPr>
      </w:pPr>
    </w:p>
    <w:p>
      <w:pPr>
        <w:ind w:right="80" w:firstLine="486"/>
        <w:spacing w:after="0" w:line="281" w:lineRule="auto"/>
        <w:rPr>
          <w:sz w:val="20"/>
          <w:szCs w:val="20"/>
          <w:color w:val="auto"/>
        </w:rPr>
      </w:pPr>
      <w:r>
        <w:rPr>
          <w:rFonts w:ascii="Arial" w:cs="Arial" w:eastAsia="Arial" w:hAnsi="Arial"/>
          <w:sz w:val="18"/>
          <w:szCs w:val="18"/>
          <w:color w:val="auto"/>
        </w:rPr>
        <w:t>As of the date of this proxy statement, our management and board of directors were not aware of any other matters to be presented at the Annual Meeting other than those set forth in this proxy statement and in the notice accompanying this proxy statement.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board of directors recommends that you vote:</w:t>
      </w:r>
    </w:p>
    <w:p>
      <w:pPr>
        <w:spacing w:after="0" w:line="185" w:lineRule="exact"/>
        <w:rPr>
          <w:sz w:val="20"/>
          <w:szCs w:val="20"/>
          <w:color w:val="auto"/>
        </w:rPr>
      </w:pPr>
    </w:p>
    <w:p>
      <w:pPr>
        <w:ind w:left="1800" w:right="160" w:hanging="496"/>
        <w:spacing w:after="0" w:line="287" w:lineRule="auto"/>
        <w:tabs>
          <w:tab w:leader="none" w:pos="1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each of the three directors nominated by the Board and named in this proxy statement as class II directors to serve for a three-year term;</w:t>
      </w:r>
    </w:p>
    <w:p>
      <w:pPr>
        <w:spacing w:after="0" w:line="112" w:lineRule="exact"/>
        <w:rPr>
          <w:rFonts w:ascii="Arial" w:cs="Arial" w:eastAsia="Arial" w:hAnsi="Arial"/>
          <w:sz w:val="18"/>
          <w:szCs w:val="18"/>
          <w:color w:val="auto"/>
        </w:rPr>
      </w:pPr>
    </w:p>
    <w:p>
      <w:pPr>
        <w:ind w:left="1800" w:right="100" w:hanging="496"/>
        <w:spacing w:after="0" w:line="287" w:lineRule="auto"/>
        <w:tabs>
          <w:tab w:leader="none" w:pos="1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our fiscal year ending December 31, 2025; and</w:t>
      </w:r>
    </w:p>
    <w:p>
      <w:pPr>
        <w:spacing w:after="0" w:line="125" w:lineRule="exact"/>
        <w:rPr>
          <w:rFonts w:ascii="Arial" w:cs="Arial" w:eastAsia="Arial" w:hAnsi="Arial"/>
          <w:sz w:val="18"/>
          <w:szCs w:val="18"/>
          <w:color w:val="auto"/>
        </w:rPr>
      </w:pPr>
    </w:p>
    <w:p>
      <w:pPr>
        <w:ind w:left="1780" w:hanging="476"/>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on an advisory basis, of executive compensation, as described in this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Holders of our common stock at the close of business on April 9, 2025, the record date for the Annual Meeting (the “Record Date”), are entitled to notice of and to vote at the Annual Meeting. Each stockholder is entitled to one vote for each share of our common stock held as of the Record Date. As of the Record Date, there were 145,242,212 shares of common stock outstanding and entitled to vote. Stockholders are not permitted to cumulate votes with respect to the election of directors. The shares you are entitled to vote include shares that are (1) held of record directly in your name, and (2) held for you as the beneficial owner through a stockbroker, bank or other nominee.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85"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Broadridge Financial Solutions, Inc., our transfer agent, then you are considered the stockholder of record with respect to those shares. As the stockholder of record, you have the right to grant your voting proxy directly to the individuals listed on the proxy card or to vote electronically at the virtual Annual Meeting.</w:t>
      </w:r>
    </w:p>
    <w:p>
      <w:pPr>
        <w:spacing w:after="0" w:line="13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i w:val="1"/>
          <w:iCs w:val="1"/>
          <w:color w:val="auto"/>
        </w:rPr>
        <w:t>Beneficial Owners: Shares Registered in the Name of a Broker, Bank or Other Nominee</w:t>
      </w:r>
      <w:r>
        <w:rPr>
          <w:rFonts w:ascii="Arial" w:cs="Arial" w:eastAsia="Arial" w:hAnsi="Arial"/>
          <w:sz w:val="18"/>
          <w:szCs w:val="18"/>
          <w:color w:val="auto"/>
        </w:rPr>
        <w:t>. If, at the close of business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your shares were 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Arial" w:cs="Arial" w:eastAsia="Arial" w:hAnsi="Arial"/>
          <w:sz w:val="18"/>
          <w:szCs w:val="18"/>
          <w:i w:val="1"/>
          <w:iCs w:val="1"/>
          <w:color w:val="auto"/>
        </w:rPr>
        <w:t>What if I do not specify how my shares are to be voted?</w:t>
      </w:r>
      <w:r>
        <w:rPr>
          <w:rFonts w:ascii="Arial" w:cs="Arial" w:eastAsia="Arial" w:hAnsi="Arial"/>
          <w:sz w:val="18"/>
          <w:szCs w:val="18"/>
          <w:color w:val="auto"/>
        </w:rPr>
        <w:t>”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you can vote in one of the following ways:</w:t>
      </w:r>
    </w:p>
    <w:p>
      <w:pPr>
        <w:spacing w:after="0" w:line="185" w:lineRule="exact"/>
        <w:rPr>
          <w:sz w:val="20"/>
          <w:szCs w:val="20"/>
          <w:color w:val="auto"/>
        </w:rPr>
      </w:pPr>
    </w:p>
    <w:p>
      <w:pPr>
        <w:ind w:left="1800" w:right="20" w:hanging="496"/>
        <w:spacing w:after="0" w:line="262" w:lineRule="auto"/>
        <w:tabs>
          <w:tab w:leader="none" w:pos="17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via the Internet. </w:t>
      </w:r>
      <w:r>
        <w:rPr>
          <w:rFonts w:ascii="Arial" w:cs="Arial" w:eastAsia="Arial" w:hAnsi="Arial"/>
          <w:sz w:val="18"/>
          <w:szCs w:val="18"/>
          <w:color w:val="auto"/>
        </w:rPr>
        <w:t>To vote via the Internet, go to www.proxyvote.com and follow the instructions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or in the notice of annual meeting and Internet availability of proxy materials. Your vote must be received by 11:59 p.m. Eastern Time on June 2, 2025 to be counted. If you vote via the Internet, you do not need to return a proxy card by mail.</w:t>
      </w:r>
    </w:p>
    <w:p>
      <w:pPr>
        <w:spacing w:after="0" w:line="149" w:lineRule="exact"/>
        <w:rPr>
          <w:rFonts w:ascii="Arial" w:cs="Arial" w:eastAsia="Arial" w:hAnsi="Arial"/>
          <w:sz w:val="18"/>
          <w:szCs w:val="18"/>
          <w:color w:val="auto"/>
        </w:rPr>
      </w:pPr>
    </w:p>
    <w:p>
      <w:pPr>
        <w:ind w:left="1800" w:right="20" w:hanging="496"/>
        <w:spacing w:after="0" w:line="262" w:lineRule="auto"/>
        <w:tabs>
          <w:tab w:leader="none" w:pos="17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toll-free 1-800-690-6903 and follow the instructions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or in the notice of annual meeting and Internet availability of proxy materials. Your vote must be received by 11:59 p.m. Eastern Time on June 2, 2025 to be counted. If you vote by telephone, you do not need to return a proxy card by mail.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0" w:right="20" w:hanging="496"/>
        <w:spacing w:after="0" w:line="254" w:lineRule="auto"/>
        <w:tabs>
          <w:tab w:leader="none" w:pos="17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To vote by mail using the proxy card (if you requested paper copies of the proxy materials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mailed to you), you need to complete, date, and sign the proxy card and return it promptly by mail so that it is received no later than June 2, 2025.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the Board. 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three directors nominated by the Board and named in this proxy statement as class II directors to serve for a three-year term,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Ernst &amp; Young LLP as our independent registered public accounting firm for our fiscal year ending December 31, 2025,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on an advisory basis, of executive compensation, as described in this proxy statement.</w:t>
      </w:r>
    </w:p>
    <w:p>
      <w:pPr>
        <w:spacing w:after="0" w:line="212" w:lineRule="exact"/>
        <w:rPr>
          <w:rFonts w:ascii="Arial" w:cs="Arial" w:eastAsia="Arial" w:hAnsi="Arial"/>
          <w:sz w:val="18"/>
          <w:szCs w:val="18"/>
          <w:color w:val="auto"/>
        </w:rPr>
      </w:pPr>
    </w:p>
    <w:p>
      <w:pPr>
        <w:ind w:left="1800" w:right="20" w:hanging="496"/>
        <w:spacing w:after="0" w:line="259" w:lineRule="auto"/>
        <w:tabs>
          <w:tab w:leader="none" w:pos="17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via meeting website</w:t>
      </w:r>
      <w:r>
        <w:rPr>
          <w:rFonts w:ascii="Arial" w:cs="Arial" w:eastAsia="Arial" w:hAnsi="Arial"/>
          <w:sz w:val="18"/>
          <w:szCs w:val="18"/>
          <w:color w:val="auto"/>
        </w:rPr>
        <w:t>. If you plan to attend the virtual Annual Meeting, you may vote your shares live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virtual Annual Meeting. Even if you plan to attend and participate in our virtual annual meeting via www.virtualshareholdermeeting.com/DNLI2025, we encourage you to vote over the Internet or by telephone as described above, or by returning a proxy card following your request of paper copies. This will ensure that your vote will be counted if you are unable to, or later decide not to, participate in the virtual Annual Meeting.</w:t>
      </w:r>
    </w:p>
    <w:p>
      <w:pPr>
        <w:spacing w:after="0" w:line="1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Beneficial Owners: Shares Registered in the Name of a Broker, Bank, or Other Nominee</w:t>
      </w:r>
      <w:r>
        <w:rPr>
          <w:rFonts w:ascii="Arial" w:cs="Arial" w:eastAsia="Arial" w:hAnsi="Arial"/>
          <w:sz w:val="18"/>
          <w:szCs w:val="18"/>
          <w:color w:val="auto"/>
        </w:rPr>
        <w:t>. If you are the beneficial owner of shares held</w:t>
      </w:r>
      <w:r>
        <w:rPr>
          <w:rFonts w:ascii="Arial" w:cs="Arial" w:eastAsia="Arial" w:hAnsi="Arial"/>
          <w:sz w:val="18"/>
          <w:szCs w:val="18"/>
          <w:i w:val="1"/>
          <w:iCs w:val="1"/>
          <w:color w:val="auto"/>
        </w:rPr>
        <w:t xml:space="preserve"> </w:t>
      </w:r>
      <w:r>
        <w:rPr>
          <w:rFonts w:ascii="Arial" w:cs="Arial" w:eastAsia="Arial" w:hAnsi="Arial"/>
          <w:sz w:val="18"/>
          <w:szCs w:val="18"/>
          <w:color w:val="auto"/>
        </w:rPr>
        <w:t>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85" w:lineRule="exact"/>
        <w:rPr>
          <w:sz w:val="20"/>
          <w:szCs w:val="20"/>
          <w:color w:val="auto"/>
        </w:rPr>
      </w:pPr>
    </w:p>
    <w:p>
      <w:pPr>
        <w:ind w:right="360" w:firstLine="486"/>
        <w:spacing w:after="0" w:line="28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you may revoke your proxy or change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instructions at any time before your proxy is voted at the Annual Meeting by:</w:t>
      </w:r>
    </w:p>
    <w:p>
      <w:pPr>
        <w:spacing w:after="0" w:line="126" w:lineRule="exact"/>
        <w:rPr>
          <w:sz w:val="20"/>
          <w:szCs w:val="20"/>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184"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184" w:lineRule="exact"/>
        <w:rPr>
          <w:rFonts w:ascii="Arial" w:cs="Arial" w:eastAsia="Arial" w:hAnsi="Arial"/>
          <w:sz w:val="18"/>
          <w:szCs w:val="18"/>
          <w:color w:val="auto"/>
        </w:rPr>
      </w:pPr>
    </w:p>
    <w:p>
      <w:pPr>
        <w:ind w:left="1800" w:right="680" w:hanging="496"/>
        <w:spacing w:after="0" w:line="287" w:lineRule="auto"/>
        <w:tabs>
          <w:tab w:leader="none" w:pos="1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a written revocation to our Secretary at Denali Therapeutics Inc., 161 Oyster Point Blvd., South San Francisco, California 94080, by 11:59 p.m. Eastern Time on June 2, 2025; or</w:t>
      </w:r>
    </w:p>
    <w:p>
      <w:pPr>
        <w:spacing w:after="0" w:line="125"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and electronically voting at the virtual Annual Meeting.</w:t>
      </w:r>
    </w:p>
    <w:p>
      <w:pPr>
        <w:spacing w:after="0" w:line="185"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i w:val="1"/>
          <w:iCs w:val="1"/>
          <w:color w:val="auto"/>
        </w:rPr>
        <w:t>Beneficial Owners: Shares Registered in the Name of a Broker, Bank, or Other Nominee</w:t>
      </w:r>
      <w:r>
        <w:rPr>
          <w:rFonts w:ascii="Arial" w:cs="Arial" w:eastAsia="Arial" w:hAnsi="Arial"/>
          <w:sz w:val="18"/>
          <w:szCs w:val="18"/>
          <w:color w:val="auto"/>
        </w:rPr>
        <w:t>. If you are the beneficial owner of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you must contact the broker, bank, or other nominee holding your shares and follow their instructions to change your vote or revoke your proxy.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9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85" w:lineRule="exact"/>
        <w:rPr>
          <w:sz w:val="20"/>
          <w:szCs w:val="20"/>
          <w:color w:val="auto"/>
        </w:rPr>
      </w:pPr>
    </w:p>
    <w:p>
      <w:pPr>
        <w:ind w:right="380" w:firstLine="486"/>
        <w:spacing w:after="0" w:line="28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and you submit a proxy but you do not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voting instructions, your shares will be voted:</w:t>
      </w:r>
    </w:p>
    <w:p>
      <w:pPr>
        <w:spacing w:after="0" w:line="126" w:lineRule="exact"/>
        <w:rPr>
          <w:sz w:val="20"/>
          <w:szCs w:val="20"/>
          <w:color w:val="auto"/>
        </w:rPr>
      </w:pPr>
    </w:p>
    <w:p>
      <w:pPr>
        <w:ind w:left="1800" w:right="140" w:hanging="496"/>
        <w:spacing w:after="0" w:line="287" w:lineRule="auto"/>
        <w:tabs>
          <w:tab w:leader="none" w:pos="1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election of each of the three directors nominated by the Board and named in this proxy statement as class II directors to serve for a three-year term (Proposal No. 1);</w:t>
      </w:r>
    </w:p>
    <w:p>
      <w:pPr>
        <w:spacing w:after="0" w:line="112" w:lineRule="exact"/>
        <w:rPr>
          <w:rFonts w:ascii="Arial" w:cs="Arial" w:eastAsia="Arial" w:hAnsi="Arial"/>
          <w:sz w:val="18"/>
          <w:szCs w:val="18"/>
          <w:color w:val="auto"/>
        </w:rPr>
      </w:pPr>
    </w:p>
    <w:p>
      <w:pPr>
        <w:ind w:left="1800" w:right="80" w:hanging="496"/>
        <w:spacing w:after="0" w:line="287" w:lineRule="auto"/>
        <w:tabs>
          <w:tab w:leader="none" w:pos="1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our fiscal year ending December 31, 2025 (Proposal No. 2);</w:t>
      </w:r>
    </w:p>
    <w:p>
      <w:pPr>
        <w:spacing w:after="0" w:line="112" w:lineRule="exact"/>
        <w:rPr>
          <w:rFonts w:ascii="Arial" w:cs="Arial" w:eastAsia="Arial" w:hAnsi="Arial"/>
          <w:sz w:val="18"/>
          <w:szCs w:val="18"/>
          <w:color w:val="auto"/>
        </w:rPr>
      </w:pPr>
    </w:p>
    <w:p>
      <w:pPr>
        <w:ind w:left="1800" w:right="260" w:hanging="496"/>
        <w:spacing w:after="0" w:line="287" w:lineRule="auto"/>
        <w:tabs>
          <w:tab w:leader="none" w:pos="1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approval, on an advisory basis, of executive compensation, as described in this proxy statement (Proposal No. 3); and</w:t>
      </w:r>
    </w:p>
    <w:p>
      <w:pPr>
        <w:spacing w:after="0" w:line="125" w:lineRule="exact"/>
        <w:rPr>
          <w:rFonts w:ascii="Arial" w:cs="Arial" w:eastAsia="Arial" w:hAnsi="Arial"/>
          <w:sz w:val="18"/>
          <w:szCs w:val="18"/>
          <w:color w:val="auto"/>
        </w:rPr>
      </w:pPr>
    </w:p>
    <w:p>
      <w:pPr>
        <w:ind w:left="1800" w:right="220" w:hanging="496"/>
        <w:spacing w:after="0" w:line="287" w:lineRule="auto"/>
        <w:tabs>
          <w:tab w:leader="none" w:pos="1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discretion of the named proxy holders regarding any other matters properly presented for a vote at the Annual Meeting.</w:t>
      </w:r>
    </w:p>
    <w:p>
      <w:pPr>
        <w:spacing w:after="0" w:line="11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Beneficial Owners: Shares Registered in the Name of a Broker, Bank, or Other Nominee</w:t>
      </w:r>
      <w:r>
        <w:rPr>
          <w:rFonts w:ascii="Arial" w:cs="Arial" w:eastAsia="Arial" w:hAnsi="Arial"/>
          <w:sz w:val="18"/>
          <w:szCs w:val="18"/>
          <w:color w:val="auto"/>
        </w:rPr>
        <w:t>. If you are a beneficial owner and you do not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3 (approval of the advisory vote on executive compensation) are not considered 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and Proposal No. 3, which would result in a “broker non-vote,” but may, in its discretion, vote your shares with respect to Proposal No. 2. For additional information regarding broker non-votes, see “</w:t>
      </w:r>
      <w:r>
        <w:rPr>
          <w:rFonts w:ascii="Arial" w:cs="Arial" w:eastAsia="Arial" w:hAnsi="Arial"/>
          <w:sz w:val="18"/>
          <w:szCs w:val="18"/>
          <w:i w:val="1"/>
          <w:iCs w:val="1"/>
          <w:color w:val="auto"/>
        </w:rPr>
        <w:t>What are the effects of abstentions and broker non-votes?</w:t>
      </w:r>
      <w:r>
        <w:rPr>
          <w:rFonts w:ascii="Arial" w:cs="Arial" w:eastAsia="Arial" w:hAnsi="Arial"/>
          <w:sz w:val="18"/>
          <w:szCs w:val="18"/>
          <w:color w:val="auto"/>
        </w:rPr>
        <w:t>”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98"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thereon (</w:t>
      </w:r>
      <w:r>
        <w:rPr>
          <w:rFonts w:ascii="Arial" w:cs="Arial" w:eastAsia="Arial" w:hAnsi="Arial"/>
          <w:sz w:val="18"/>
          <w:szCs w:val="18"/>
          <w:i w:val="1"/>
          <w:iCs w:val="1"/>
          <w:color w:val="auto"/>
        </w:rPr>
        <w:t>e.g.</w:t>
      </w:r>
      <w:r>
        <w:rPr>
          <w:rFonts w:ascii="Arial" w:cs="Arial" w:eastAsia="Arial" w:hAnsi="Arial"/>
          <w:sz w:val="18"/>
          <w:szCs w:val="18"/>
          <w:color w:val="auto"/>
        </w:rPr>
        <w:t>, Proposal No. 2 and Proposal No. 3). However, because the outcome of Proposal No. 1 (election of directors) will be determined by plurality votes, abstentions will have no impact on the outcome of any of such proposals as long as a quorum exists.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8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A majority of the shares of common stock outstanding and entitled to vote, in person or by proxy, constitutes a quorum for the transaction of business at the Annual Meeting. As noted above, as of the Record Date, there were a total of 145,242,212 shares of common stock outstanding, which means that 72,621,106 shares of common stock must be represented in person or by proxy at the Annual Meeting to have a quorum. If there is no quorum, a majority of the shares present at the Annual Meeting may adjourn the meeting to a later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98" w:lineRule="exact"/>
        <w:rPr>
          <w:sz w:val="20"/>
          <w:szCs w:val="20"/>
          <w:color w:val="auto"/>
        </w:rPr>
      </w:pPr>
    </w:p>
    <w:p>
      <w:pPr>
        <w:ind w:left="1800" w:hanging="496"/>
        <w:spacing w:after="0" w:line="255" w:lineRule="auto"/>
        <w:tabs>
          <w:tab w:leader="none" w:pos="1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class II directors requires a plurality vote of the shares of our common stock present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by proxy at the Annual Meeting and entitled to vote thereon to be approved. This means that the three nominees who receive the most FOR votes will be elected.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the proposal.</w:t>
      </w:r>
    </w:p>
    <w:p>
      <w:pPr>
        <w:spacing w:after="0" w:line="144" w:lineRule="exact"/>
        <w:rPr>
          <w:rFonts w:ascii="Arial" w:cs="Arial" w:eastAsia="Arial" w:hAnsi="Arial"/>
          <w:sz w:val="18"/>
          <w:szCs w:val="18"/>
          <w:color w:val="auto"/>
        </w:rPr>
      </w:pPr>
    </w:p>
    <w:p>
      <w:pPr>
        <w:ind w:left="1800" w:right="20" w:hanging="496"/>
        <w:spacing w:after="0" w:line="262" w:lineRule="auto"/>
        <w:tabs>
          <w:tab w:leader="none" w:pos="1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 The ratification of the appointment of Ernst &amp; Young LLP requires an affirmative vote of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of our common stock present in person or by proxy at the Annual Meeting and entitled to vote thereon to be approved. You may vote FOR, AGAINST, or ABSTAIN. If you ABSTAIN from voting on Proposal No. 2, the abstention will have the same effect as a vote AGAINST the proposal.</w:t>
      </w:r>
    </w:p>
    <w:p>
      <w:pPr>
        <w:spacing w:after="0" w:line="135" w:lineRule="exact"/>
        <w:rPr>
          <w:rFonts w:ascii="Arial" w:cs="Arial" w:eastAsia="Arial" w:hAnsi="Arial"/>
          <w:sz w:val="18"/>
          <w:szCs w:val="18"/>
          <w:color w:val="auto"/>
        </w:rPr>
      </w:pPr>
    </w:p>
    <w:p>
      <w:pPr>
        <w:ind w:left="1800" w:right="160" w:hanging="496"/>
        <w:spacing w:after="0" w:line="259" w:lineRule="auto"/>
        <w:tabs>
          <w:tab w:leader="none" w:pos="1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For the non-binding advisory vote on executive compensation, an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present in person or by proxy at the Annual Meeting and entitled to vote thereon to be approved is required to approve, on a non-binding advisory basis, the compensation of our named executive officers. You may vote FOR, AGAINST, or ABSTAIN. If you ABSTAIN from voting on Proposal No. 3, the abstention will have the same effect as a vote AGAINST the proposal.</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98"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42" w:lineRule="exact"/>
        <w:rPr>
          <w:sz w:val="20"/>
          <w:szCs w:val="20"/>
          <w:color w:val="auto"/>
        </w:rPr>
      </w:pPr>
    </w:p>
    <w:p>
      <w:pPr>
        <w:ind w:right="340" w:firstLine="486"/>
        <w:spacing w:after="0" w:line="287"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received more than one Notice?</w:t>
      </w:r>
    </w:p>
    <w:p>
      <w:pPr>
        <w:spacing w:after="0" w:line="198" w:lineRule="exact"/>
        <w:rPr>
          <w:sz w:val="20"/>
          <w:szCs w:val="20"/>
          <w:color w:val="auto"/>
        </w:rPr>
      </w:pPr>
    </w:p>
    <w:p>
      <w:pPr>
        <w:ind w:right="120" w:firstLine="486"/>
        <w:spacing w:after="0" w:line="287"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85" w:lineRule="exact"/>
        <w:rPr>
          <w:sz w:val="20"/>
          <w:szCs w:val="20"/>
          <w:color w:val="auto"/>
        </w:rPr>
      </w:pPr>
    </w:p>
    <w:p>
      <w:pPr>
        <w:ind w:right="40" w:firstLine="486"/>
        <w:spacing w:after="0" w:line="26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Denali or to third parties, except as necessary to meet applicable legal requirements, to allow for the tabulation of votes and certification of the vote, or to facilitate a successful proxy solicitation.</w:t>
      </w:r>
    </w:p>
    <w:p>
      <w:pPr>
        <w:spacing w:after="0" w:line="144" w:lineRule="exact"/>
        <w:rPr>
          <w:sz w:val="20"/>
          <w:szCs w:val="20"/>
          <w:color w:val="auto"/>
        </w:rPr>
      </w:pPr>
    </w:p>
    <w:p>
      <w:pPr>
        <w:ind w:right="400"/>
        <w:spacing w:after="0" w:line="296"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9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adopted an SEC-approved procedure called “householding.” Under this procedure, we will deliver only one copy of our Notice of Internet Availability of Proxy Materials, and for those stockholders that received a paper copy of proxy materials in the mail, one copy of our annual report to stockholders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Denali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 Oyster Point Blvd.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866-8547</w:t>
      </w:r>
    </w:p>
    <w:p>
      <w:pPr>
        <w:spacing w:after="0" w:line="180" w:lineRule="exact"/>
        <w:rPr>
          <w:sz w:val="20"/>
          <w:szCs w:val="20"/>
          <w:color w:val="auto"/>
        </w:rPr>
      </w:pPr>
    </w:p>
    <w:p>
      <w:pPr>
        <w:ind w:right="580" w:firstLine="486"/>
        <w:spacing w:after="0" w:line="28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98"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at that time, we intend to file a Form 8-K to publish preliminary results and, within four business days after the final results are known to us, file an amendment to the Form 8-K to publish the final results.</w:t>
      </w:r>
    </w:p>
    <w:p>
      <w:pPr>
        <w:spacing w:after="0" w:line="136"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19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Secretary in a timely manner. For a stockholder proposal to be considered for inclusion in our proxy statement for our 2026 annual meeting of stockholders, our Secretary must receive the written proposal at our principal executive offices not later than December 18, 2025.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Denali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 Oyster Point Blvd.,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(650) 866-8547</w:t>
      </w:r>
    </w:p>
    <w:p>
      <w:pPr>
        <w:spacing w:after="0" w:line="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our board of directors, or any committee thereof that has been formally delegated authority to propose such business by our board of directors, (iii) as may be provided in a certificate of designation for any class or series of preferred stock, or (iv) properly brought before the annual meeting by a stockholder who satisfies the record date requirements specified in our bylaws and who has delivered timely written notice to our Secretary, which notice must contain the information specified in our bylaws. To be timely for our 2026 annual meeting of stockholders, our Secretary must receive the written notice at our principal executive offices:</w:t>
      </w:r>
    </w:p>
    <w:p>
      <w:pPr>
        <w:spacing w:after="0" w:line="214" w:lineRule="exact"/>
        <w:rPr>
          <w:sz w:val="20"/>
          <w:szCs w:val="20"/>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8:00 a.m., Pacific time, on February 1, 2026; and</w:t>
      </w:r>
    </w:p>
    <w:p>
      <w:pPr>
        <w:spacing w:after="0" w:line="252"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5:00 p.m., Pacific time, on March 3, 2026.</w:t>
      </w:r>
    </w:p>
    <w:p>
      <w:pPr>
        <w:spacing w:after="0" w:line="252"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In the event that we hold our 2026 annual meeting of stockholders more than 25 days before or more than 25 days after the one-year anniversary of the date of the Annual Meeting, then notice of a stockholder proposal that is not intended to be included in our proxy statement must be received at our principal executive offices no earlier than 8:00 a.m., Pacific time, on the 120th day before such annual meeting and no later than 5:00 p.m., Pacific time, on the later of the following two dates:</w:t>
      </w:r>
    </w:p>
    <w:p>
      <w:pPr>
        <w:spacing w:after="0" w:line="136" w:lineRule="exact"/>
        <w:rPr>
          <w:sz w:val="20"/>
          <w:szCs w:val="20"/>
          <w:color w:val="auto"/>
        </w:rPr>
      </w:pPr>
    </w:p>
    <w:p>
      <w:pPr>
        <w:ind w:left="1780" w:hanging="476"/>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98" w:lineRule="exact"/>
        <w:rPr>
          <w:rFonts w:ascii="Arial" w:cs="Arial" w:eastAsia="Arial" w:hAnsi="Arial"/>
          <w:sz w:val="18"/>
          <w:szCs w:val="18"/>
          <w:color w:val="auto"/>
        </w:rPr>
      </w:pPr>
    </w:p>
    <w:p>
      <w:pPr>
        <w:ind w:left="1780" w:hanging="476"/>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185"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Unless otherwise required by law, 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1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You may propose director candidates for consideration by our corporate governance and nominating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Governance—Stockholder Recommendations for Nominations to the Board of Directors.”</w:t>
      </w:r>
    </w:p>
    <w:p>
      <w:pPr>
        <w:spacing w:after="0" w:line="136" w:lineRule="exact"/>
        <w:rPr>
          <w:sz w:val="20"/>
          <w:szCs w:val="20"/>
          <w:color w:val="auto"/>
        </w:rPr>
      </w:pPr>
    </w:p>
    <w:p>
      <w:pPr>
        <w:ind w:right="340" w:firstLine="486"/>
        <w:spacing w:after="0" w:line="282" w:lineRule="auto"/>
        <w:rPr>
          <w:sz w:val="20"/>
          <w:szCs w:val="20"/>
          <w:color w:val="auto"/>
        </w:rPr>
      </w:pPr>
      <w:r>
        <w:rPr>
          <w:rFonts w:ascii="Arial" w:cs="Arial" w:eastAsia="Arial" w:hAnsi="Arial"/>
          <w:sz w:val="17"/>
          <w:szCs w:val="17"/>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 described above under “Stockholder Proposals” for stockholder proposals that are not intended to be included in a proxy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196"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18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comprised of ten (10) members. Our board of directors will be reduced to nine (9) members effective on the date of the Annual Meeting. Eight (8) of our ten (10) directors are independent within the meaning of the listing rules of the Nasdaq Stock Market (Nasdaq). Our board of directors is divided into three classes with staggered three-year terms. At each annual meeting of stockholders, a class of directors will be elected for a three-year term to succeed the same class whose term is then expiring.</w:t>
      </w:r>
    </w:p>
    <w:p>
      <w:pPr>
        <w:spacing w:after="0" w:line="206" w:lineRule="exact"/>
        <w:rPr>
          <w:sz w:val="20"/>
          <w:szCs w:val="20"/>
          <w:color w:val="auto"/>
        </w:rPr>
      </w:pPr>
    </w:p>
    <w:p>
      <w:pPr>
        <w:ind w:right="40" w:firstLine="486"/>
        <w:spacing w:after="0" w:line="282" w:lineRule="auto"/>
        <w:rPr>
          <w:sz w:val="20"/>
          <w:szCs w:val="20"/>
          <w:color w:val="auto"/>
        </w:rPr>
      </w:pPr>
      <w:r>
        <w:rPr>
          <w:rFonts w:ascii="Arial" w:cs="Arial" w:eastAsia="Arial" w:hAnsi="Arial"/>
          <w:sz w:val="17"/>
          <w:szCs w:val="17"/>
          <w:color w:val="auto"/>
        </w:rPr>
        <w:t>Mr. Harris and Dr. Sato are not being nominated for re-election, and each of their terms will expire at the Annual Meeting. We thank them for their service, guidance, and significant contributions as directors. Upon the recommendation of our corporate governance and nominating committee, we are nominating Messrs. Baker, Klein, and Krognes. If elected, Messrs. Baker, Klein, and Krognes will each hold office for a three-year term until the annual meeting of stockholders to be held in 2028 or until their successors are duly elected and qualified.</w:t>
      </w:r>
    </w:p>
    <w:p>
      <w:pPr>
        <w:spacing w:after="0" w:line="188" w:lineRule="exact"/>
        <w:rPr>
          <w:sz w:val="20"/>
          <w:szCs w:val="20"/>
          <w:color w:val="auto"/>
        </w:rPr>
      </w:pPr>
    </w:p>
    <w:p>
      <w:pPr>
        <w:ind w:right="320" w:firstLine="486"/>
        <w:spacing w:after="0" w:line="268" w:lineRule="auto"/>
        <w:rPr>
          <w:sz w:val="20"/>
          <w:szCs w:val="20"/>
          <w:color w:val="auto"/>
        </w:rPr>
      </w:pPr>
      <w:r>
        <w:rPr>
          <w:rFonts w:ascii="Arial" w:cs="Arial" w:eastAsia="Arial" w:hAnsi="Arial"/>
          <w:sz w:val="18"/>
          <w:szCs w:val="18"/>
          <w:color w:val="auto"/>
        </w:rPr>
        <w:t>The following table sets forth the names, ages as of March 31, 2025, and certain other information, including the composition of the committees, as of the date of this proxy statement, for each of the nominees for director at the Annual Meeting, each of the continuing directors, and each of the departing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Current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Expiration of</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Director</w:t>
            </w:r>
          </w:p>
        </w:tc>
        <w:tc>
          <w:tcPr>
            <w:tcW w:w="142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Term For</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Class</w:t>
            </w:r>
          </w:p>
        </w:tc>
        <w:tc>
          <w:tcPr>
            <w:tcW w:w="340" w:type="dxa"/>
            <w:vAlign w:val="bottom"/>
            <w:vMerge w:val="restart"/>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Age</w:t>
            </w:r>
          </w:p>
        </w:tc>
        <w:tc>
          <w:tcPr>
            <w:tcW w:w="360" w:type="dxa"/>
            <w:vAlign w:val="bottom"/>
            <w:vMerge w:val="restart"/>
          </w:tcPr>
          <w:p>
            <w:pPr>
              <w:spacing w:after="0"/>
              <w:rPr>
                <w:sz w:val="12"/>
                <w:szCs w:val="12"/>
                <w:color w:val="auto"/>
              </w:rPr>
            </w:pPr>
          </w:p>
        </w:tc>
        <w:tc>
          <w:tcPr>
            <w:tcW w:w="22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Term</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Which</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CCEEFF"/>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Since</w:t>
            </w:r>
          </w:p>
        </w:tc>
        <w:tc>
          <w:tcPr>
            <w:tcW w:w="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Expires</w:t>
            </w: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19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1. Director Nominees</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gridSpan w:val="2"/>
          </w:tcPr>
          <w:p>
            <w:pPr>
              <w:ind w:left="180"/>
              <w:spacing w:after="0"/>
              <w:rPr>
                <w:sz w:val="20"/>
                <w:szCs w:val="20"/>
                <w:color w:val="auto"/>
              </w:rPr>
            </w:pPr>
            <w:r>
              <w:rPr>
                <w:rFonts w:ascii="Arial" w:cs="Arial" w:eastAsia="Arial" w:hAnsi="Arial"/>
                <w:sz w:val="14"/>
                <w:szCs w:val="14"/>
                <w:color w:val="auto"/>
              </w:rPr>
              <w:t>Julian C. Baker</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rPr>
              <w:t>II</w:t>
            </w:r>
          </w:p>
        </w:tc>
        <w:tc>
          <w:tcPr>
            <w:tcW w:w="480" w:type="dxa"/>
            <w:vAlign w:val="bottom"/>
          </w:tcPr>
          <w:p>
            <w:pPr>
              <w:jc w:val="center"/>
              <w:spacing w:after="0"/>
              <w:rPr>
                <w:sz w:val="20"/>
                <w:szCs w:val="20"/>
                <w:color w:val="auto"/>
              </w:rPr>
            </w:pPr>
            <w:r>
              <w:rPr>
                <w:rFonts w:ascii="Arial" w:cs="Arial" w:eastAsia="Arial" w:hAnsi="Arial"/>
                <w:sz w:val="14"/>
                <w:szCs w:val="14"/>
                <w:color w:val="auto"/>
              </w:rPr>
              <w:t>58</w:t>
            </w:r>
          </w:p>
        </w:tc>
        <w:tc>
          <w:tcPr>
            <w:tcW w:w="360" w:type="dxa"/>
            <w:vAlign w:val="bottom"/>
          </w:tcPr>
          <w:p>
            <w:pPr>
              <w:spacing w:after="0"/>
              <w:rPr>
                <w:sz w:val="17"/>
                <w:szCs w:val="17"/>
                <w:color w:val="auto"/>
              </w:rPr>
            </w:pPr>
          </w:p>
        </w:tc>
        <w:tc>
          <w:tcPr>
            <w:tcW w:w="25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07"/>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Peter Klein</w:t>
            </w:r>
            <w:r>
              <w:rPr>
                <w:rFonts w:ascii="Arial" w:cs="Arial" w:eastAsia="Arial" w:hAnsi="Arial"/>
                <w:sz w:val="18"/>
                <w:szCs w:val="18"/>
                <w:color w:val="auto"/>
                <w:vertAlign w:val="superscript"/>
              </w:rPr>
              <w:t>(1)(2)</w:t>
            </w:r>
          </w:p>
        </w:tc>
        <w:tc>
          <w:tcPr>
            <w:tcW w:w="11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rPr>
              <w:t>II</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w:t>
            </w:r>
          </w:p>
        </w:tc>
        <w:tc>
          <w:tcPr>
            <w:tcW w:w="36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98"/>
        </w:trPr>
        <w:tc>
          <w:tcPr>
            <w:tcW w:w="2820" w:type="dxa"/>
            <w:vAlign w:val="bottom"/>
            <w:gridSpan w:val="2"/>
          </w:tcPr>
          <w:p>
            <w:pPr>
              <w:ind w:left="180"/>
              <w:spacing w:after="0"/>
              <w:rPr>
                <w:sz w:val="20"/>
                <w:szCs w:val="20"/>
                <w:color w:val="auto"/>
              </w:rPr>
            </w:pPr>
            <w:r>
              <w:rPr>
                <w:rFonts w:ascii="Arial" w:cs="Arial" w:eastAsia="Arial" w:hAnsi="Arial"/>
                <w:sz w:val="14"/>
                <w:szCs w:val="14"/>
                <w:color w:val="auto"/>
              </w:rPr>
              <w:t>Steve E. Krognes</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rPr>
              <w:t>II</w:t>
            </w:r>
          </w:p>
        </w:tc>
        <w:tc>
          <w:tcPr>
            <w:tcW w:w="480" w:type="dxa"/>
            <w:vAlign w:val="bottom"/>
          </w:tcPr>
          <w:p>
            <w:pPr>
              <w:jc w:val="center"/>
              <w:spacing w:after="0"/>
              <w:rPr>
                <w:sz w:val="20"/>
                <w:szCs w:val="20"/>
                <w:color w:val="auto"/>
              </w:rPr>
            </w:pPr>
            <w:r>
              <w:rPr>
                <w:rFonts w:ascii="Arial" w:cs="Arial" w:eastAsia="Arial" w:hAnsi="Arial"/>
                <w:sz w:val="14"/>
                <w:szCs w:val="14"/>
                <w:color w:val="auto"/>
              </w:rPr>
              <w:t>56</w:t>
            </w:r>
          </w:p>
        </w:tc>
        <w:tc>
          <w:tcPr>
            <w:tcW w:w="360" w:type="dxa"/>
            <w:vAlign w:val="bottom"/>
          </w:tcPr>
          <w:p>
            <w:pPr>
              <w:spacing w:after="0"/>
              <w:rPr>
                <w:sz w:val="17"/>
                <w:szCs w:val="17"/>
                <w:color w:val="auto"/>
              </w:rPr>
            </w:pPr>
          </w:p>
        </w:tc>
        <w:tc>
          <w:tcPr>
            <w:tcW w:w="25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tcPr>
          <w:p>
            <w:pPr>
              <w:jc w:val="center"/>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61"/>
        </w:trPr>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2. Continuing Directors</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4"/>
                <w:szCs w:val="14"/>
                <w:color w:val="auto"/>
              </w:rPr>
              <w:t>Jennifer Cook</w:t>
            </w:r>
            <w:r>
              <w:rPr>
                <w:rFonts w:ascii="Arial" w:cs="Arial" w:eastAsia="Arial" w:hAnsi="Arial"/>
                <w:sz w:val="18"/>
                <w:szCs w:val="18"/>
                <w:color w:val="auto"/>
                <w:vertAlign w:val="superscript"/>
              </w:rPr>
              <w:t>(3)</w:t>
            </w:r>
          </w:p>
        </w:tc>
        <w:tc>
          <w:tcPr>
            <w:tcW w:w="11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rPr>
              <w:t>III</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59</w:t>
            </w:r>
          </w:p>
        </w:tc>
        <w:tc>
          <w:tcPr>
            <w:tcW w:w="36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2026</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4"/>
                <w:szCs w:val="14"/>
                <w:color w:val="auto"/>
              </w:rPr>
              <w:t>David Schenkein, M.D.</w:t>
            </w:r>
            <w:r>
              <w:rPr>
                <w:rFonts w:ascii="Arial" w:cs="Arial" w:eastAsia="Arial" w:hAnsi="Arial"/>
                <w:sz w:val="18"/>
                <w:szCs w:val="18"/>
                <w:color w:val="auto"/>
                <w:vertAlign w:val="superscript"/>
              </w:rPr>
              <w:t>(3)</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rPr>
              <w:t>III</w:t>
            </w:r>
          </w:p>
        </w:tc>
        <w:tc>
          <w:tcPr>
            <w:tcW w:w="480" w:type="dxa"/>
            <w:vAlign w:val="bottom"/>
          </w:tcPr>
          <w:p>
            <w:pPr>
              <w:jc w:val="center"/>
              <w:spacing w:after="0"/>
              <w:rPr>
                <w:sz w:val="20"/>
                <w:szCs w:val="20"/>
                <w:color w:val="auto"/>
              </w:rPr>
            </w:pPr>
            <w:r>
              <w:rPr>
                <w:rFonts w:ascii="Arial" w:cs="Arial" w:eastAsia="Arial" w:hAnsi="Arial"/>
                <w:sz w:val="14"/>
                <w:szCs w:val="14"/>
                <w:color w:val="auto"/>
              </w:rPr>
              <w:t>67</w:t>
            </w:r>
          </w:p>
        </w:tc>
        <w:tc>
          <w:tcPr>
            <w:tcW w:w="36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tcPr>
          <w:p>
            <w:pPr>
              <w:jc w:val="center"/>
              <w:spacing w:after="0"/>
              <w:rPr>
                <w:sz w:val="20"/>
                <w:szCs w:val="20"/>
                <w:color w:val="auto"/>
              </w:rPr>
            </w:pPr>
            <w:r>
              <w:rPr>
                <w:rFonts w:ascii="Arial" w:cs="Arial" w:eastAsia="Arial" w:hAnsi="Arial"/>
                <w:sz w:val="14"/>
                <w:szCs w:val="14"/>
                <w:color w:val="auto"/>
              </w:rPr>
              <w:t>2015</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2026</w:t>
            </w:r>
          </w:p>
        </w:tc>
        <w:tc>
          <w:tcPr>
            <w:tcW w:w="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49"/>
        </w:trPr>
        <w:tc>
          <w:tcPr>
            <w:tcW w:w="282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Ryan J. Watts, Ph.D.</w:t>
            </w:r>
          </w:p>
        </w:tc>
        <w:tc>
          <w:tcPr>
            <w:tcW w:w="110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color w:val="auto"/>
              </w:rPr>
              <w:t>III</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49</w:t>
            </w:r>
          </w:p>
        </w:tc>
        <w:tc>
          <w:tcPr>
            <w:tcW w:w="360" w:type="dxa"/>
            <w:vAlign w:val="bottom"/>
            <w:shd w:val="clear" w:color="auto" w:fill="CCEEFF"/>
          </w:tcPr>
          <w:p>
            <w:pPr>
              <w:spacing w:after="0"/>
              <w:rPr>
                <w:sz w:val="12"/>
                <w:szCs w:val="12"/>
                <w:color w:val="auto"/>
              </w:rPr>
            </w:pPr>
          </w:p>
        </w:tc>
        <w:tc>
          <w:tcPr>
            <w:tcW w:w="2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President, Chief Executive Officer</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3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2026</w:t>
            </w:r>
          </w:p>
        </w:tc>
        <w:tc>
          <w:tcPr>
            <w:tcW w:w="3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282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and Director</w:t>
            </w:r>
          </w:p>
        </w:tc>
        <w:tc>
          <w:tcPr>
            <w:tcW w:w="106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4"/>
                <w:szCs w:val="14"/>
                <w:color w:val="auto"/>
              </w:rPr>
              <w:t>Jay Flatley</w:t>
            </w:r>
            <w:r>
              <w:rPr>
                <w:rFonts w:ascii="Arial" w:cs="Arial" w:eastAsia="Arial" w:hAnsi="Arial"/>
                <w:sz w:val="18"/>
                <w:szCs w:val="18"/>
                <w:color w:val="auto"/>
                <w:vertAlign w:val="superscript"/>
              </w:rPr>
              <w:t>(1)(2)</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rPr>
              <w:t>I</w:t>
            </w:r>
          </w:p>
        </w:tc>
        <w:tc>
          <w:tcPr>
            <w:tcW w:w="480" w:type="dxa"/>
            <w:vAlign w:val="bottom"/>
          </w:tcPr>
          <w:p>
            <w:pPr>
              <w:jc w:val="center"/>
              <w:spacing w:after="0"/>
              <w:rPr>
                <w:sz w:val="20"/>
                <w:szCs w:val="20"/>
                <w:color w:val="auto"/>
              </w:rPr>
            </w:pPr>
            <w:r>
              <w:rPr>
                <w:rFonts w:ascii="Arial" w:cs="Arial" w:eastAsia="Arial" w:hAnsi="Arial"/>
                <w:sz w:val="14"/>
                <w:szCs w:val="14"/>
                <w:color w:val="auto"/>
              </w:rPr>
              <w:t>72</w:t>
            </w:r>
          </w:p>
        </w:tc>
        <w:tc>
          <w:tcPr>
            <w:tcW w:w="36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tcPr>
          <w:p>
            <w:pPr>
              <w:jc w:val="center"/>
              <w:spacing w:after="0"/>
              <w:rPr>
                <w:sz w:val="20"/>
                <w:szCs w:val="20"/>
                <w:color w:val="auto"/>
              </w:rPr>
            </w:pPr>
            <w:r>
              <w:rPr>
                <w:rFonts w:ascii="Arial" w:cs="Arial" w:eastAsia="Arial" w:hAnsi="Arial"/>
                <w:sz w:val="14"/>
                <w:szCs w:val="14"/>
                <w:color w:val="auto"/>
              </w:rPr>
              <w:t>2015</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2027</w:t>
            </w:r>
          </w:p>
        </w:tc>
        <w:tc>
          <w:tcPr>
            <w:tcW w:w="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Marc Tessier-Lavigne, Ph.D.</w:t>
            </w:r>
            <w:r>
              <w:rPr>
                <w:rFonts w:ascii="Arial" w:cs="Arial" w:eastAsia="Arial" w:hAnsi="Arial"/>
                <w:sz w:val="18"/>
                <w:szCs w:val="18"/>
                <w:color w:val="auto"/>
                <w:vertAlign w:val="superscript"/>
              </w:rPr>
              <w:t>(3)</w:t>
            </w:r>
          </w:p>
        </w:tc>
        <w:tc>
          <w:tcPr>
            <w:tcW w:w="11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rPr>
              <w:t>I</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w:t>
            </w:r>
          </w:p>
        </w:tc>
        <w:tc>
          <w:tcPr>
            <w:tcW w:w="3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2027</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4"/>
                <w:szCs w:val="14"/>
                <w:color w:val="auto"/>
              </w:rPr>
              <w:t>Nancy A. Thornberry</w:t>
            </w:r>
            <w:r>
              <w:rPr>
                <w:rFonts w:ascii="Arial" w:cs="Arial" w:eastAsia="Arial" w:hAnsi="Arial"/>
                <w:sz w:val="18"/>
                <w:szCs w:val="18"/>
                <w:color w:val="auto"/>
                <w:vertAlign w:val="superscript"/>
              </w:rPr>
              <w:t>(2)</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rPr>
              <w:t>I</w:t>
            </w:r>
          </w:p>
        </w:tc>
        <w:tc>
          <w:tcPr>
            <w:tcW w:w="480" w:type="dxa"/>
            <w:vAlign w:val="bottom"/>
          </w:tcPr>
          <w:p>
            <w:pPr>
              <w:jc w:val="center"/>
              <w:spacing w:after="0"/>
              <w:rPr>
                <w:sz w:val="20"/>
                <w:szCs w:val="20"/>
                <w:color w:val="auto"/>
              </w:rPr>
            </w:pPr>
            <w:r>
              <w:rPr>
                <w:rFonts w:ascii="Arial" w:cs="Arial" w:eastAsia="Arial" w:hAnsi="Arial"/>
                <w:sz w:val="14"/>
                <w:szCs w:val="14"/>
                <w:color w:val="auto"/>
              </w:rPr>
              <w:t>68</w:t>
            </w:r>
          </w:p>
        </w:tc>
        <w:tc>
          <w:tcPr>
            <w:tcW w:w="36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tcPr>
          <w:p>
            <w:pPr>
              <w:jc w:val="center"/>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2027</w:t>
            </w:r>
          </w:p>
        </w:tc>
        <w:tc>
          <w:tcPr>
            <w:tcW w:w="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3. Departing Directors</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Vicki Sato, Ph.D.</w:t>
            </w:r>
            <w:r>
              <w:rPr>
                <w:rFonts w:ascii="Arial" w:cs="Arial" w:eastAsia="Arial" w:hAnsi="Arial"/>
                <w:sz w:val="18"/>
                <w:szCs w:val="18"/>
                <w:color w:val="auto"/>
                <w:vertAlign w:val="superscript"/>
              </w:rPr>
              <w:t>(3)</w:t>
            </w:r>
          </w:p>
        </w:tc>
        <w:tc>
          <w:tcPr>
            <w:tcW w:w="11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rPr>
              <w:t>II</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76</w:t>
            </w:r>
          </w:p>
        </w:tc>
        <w:tc>
          <w:tcPr>
            <w:tcW w:w="3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Chairperson of the Board</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5"/>
        </w:trPr>
        <w:tc>
          <w:tcPr>
            <w:tcW w:w="2820" w:type="dxa"/>
            <w:vAlign w:val="bottom"/>
            <w:gridSpan w:val="2"/>
          </w:tcPr>
          <w:p>
            <w:pPr>
              <w:ind w:left="180"/>
              <w:spacing w:after="0"/>
              <w:rPr>
                <w:sz w:val="20"/>
                <w:szCs w:val="20"/>
                <w:color w:val="auto"/>
              </w:rPr>
            </w:pPr>
            <w:r>
              <w:rPr>
                <w:rFonts w:ascii="Arial" w:cs="Arial" w:eastAsia="Arial" w:hAnsi="Arial"/>
                <w:sz w:val="14"/>
                <w:szCs w:val="14"/>
                <w:color w:val="auto"/>
              </w:rPr>
              <w:t>Erik Harris</w:t>
            </w:r>
            <w:r>
              <w:rPr>
                <w:rFonts w:ascii="Arial" w:cs="Arial" w:eastAsia="Arial" w:hAnsi="Arial"/>
                <w:sz w:val="18"/>
                <w:szCs w:val="18"/>
                <w:color w:val="auto"/>
                <w:vertAlign w:val="superscript"/>
              </w:rPr>
              <w:t>(1)</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color w:val="auto"/>
              </w:rPr>
              <w:t>II</w:t>
            </w:r>
          </w:p>
        </w:tc>
        <w:tc>
          <w:tcPr>
            <w:tcW w:w="480" w:type="dxa"/>
            <w:vAlign w:val="bottom"/>
          </w:tcPr>
          <w:p>
            <w:pPr>
              <w:jc w:val="center"/>
              <w:spacing w:after="0"/>
              <w:rPr>
                <w:sz w:val="20"/>
                <w:szCs w:val="20"/>
                <w:color w:val="auto"/>
              </w:rPr>
            </w:pPr>
            <w:r>
              <w:rPr>
                <w:rFonts w:ascii="Arial" w:cs="Arial" w:eastAsia="Arial" w:hAnsi="Arial"/>
                <w:sz w:val="14"/>
                <w:szCs w:val="14"/>
                <w:color w:val="auto"/>
              </w:rPr>
              <w:t>55</w:t>
            </w:r>
          </w:p>
        </w:tc>
        <w:tc>
          <w:tcPr>
            <w:tcW w:w="360" w:type="dxa"/>
            <w:vAlign w:val="bottom"/>
          </w:tcPr>
          <w:p>
            <w:pPr>
              <w:spacing w:after="0"/>
              <w:rPr>
                <w:sz w:val="23"/>
                <w:szCs w:val="23"/>
                <w:color w:val="auto"/>
              </w:rPr>
            </w:pPr>
          </w:p>
        </w:tc>
        <w:tc>
          <w:tcPr>
            <w:tcW w:w="25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060" w:type="dxa"/>
            <w:vAlign w:val="bottom"/>
          </w:tcPr>
          <w:p>
            <w:pPr>
              <w:jc w:val="center"/>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3042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9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1"/>
          <w:szCs w:val="11"/>
          <w:color w:val="auto"/>
        </w:rPr>
      </w:pPr>
      <w:r>
        <w:rPr>
          <w:rFonts w:ascii="Arial" w:cs="Arial" w:eastAsia="Arial" w:hAnsi="Arial"/>
          <w:sz w:val="14"/>
          <w:szCs w:val="14"/>
          <w:color w:val="auto"/>
        </w:rPr>
        <w:t>Member of our audit committee.</w:t>
      </w:r>
    </w:p>
    <w:p>
      <w:pPr>
        <w:spacing w:after="0" w:line="28" w:lineRule="exact"/>
        <w:rPr>
          <w:rFonts w:ascii="Arial" w:cs="Arial" w:eastAsia="Arial" w:hAnsi="Arial"/>
          <w:sz w:val="11"/>
          <w:szCs w:val="11"/>
          <w:color w:val="auto"/>
        </w:rPr>
      </w:pPr>
    </w:p>
    <w:p>
      <w:pPr>
        <w:ind w:left="500" w:hanging="492"/>
        <w:spacing w:after="0"/>
        <w:tabs>
          <w:tab w:leader="none" w:pos="500" w:val="left"/>
        </w:tabs>
        <w:numPr>
          <w:ilvl w:val="0"/>
          <w:numId w:val="14"/>
        </w:numPr>
        <w:rPr>
          <w:rFonts w:ascii="Arial" w:cs="Arial" w:eastAsia="Arial" w:hAnsi="Arial"/>
          <w:sz w:val="11"/>
          <w:szCs w:val="11"/>
          <w:color w:val="auto"/>
        </w:rPr>
      </w:pPr>
      <w:r>
        <w:rPr>
          <w:rFonts w:ascii="Arial" w:cs="Arial" w:eastAsia="Arial" w:hAnsi="Arial"/>
          <w:sz w:val="14"/>
          <w:szCs w:val="14"/>
          <w:color w:val="auto"/>
        </w:rPr>
        <w:t>Member of our compensation committee.</w:t>
      </w:r>
    </w:p>
    <w:p>
      <w:pPr>
        <w:spacing w:after="0" w:line="14" w:lineRule="exact"/>
        <w:rPr>
          <w:rFonts w:ascii="Arial" w:cs="Arial" w:eastAsia="Arial" w:hAnsi="Arial"/>
          <w:sz w:val="11"/>
          <w:szCs w:val="11"/>
          <w:color w:val="auto"/>
        </w:rPr>
      </w:pPr>
    </w:p>
    <w:p>
      <w:pPr>
        <w:ind w:left="500" w:hanging="492"/>
        <w:spacing w:after="0"/>
        <w:tabs>
          <w:tab w:leader="none" w:pos="500" w:val="left"/>
        </w:tabs>
        <w:numPr>
          <w:ilvl w:val="0"/>
          <w:numId w:val="14"/>
        </w:numPr>
        <w:rPr>
          <w:rFonts w:ascii="Arial" w:cs="Arial" w:eastAsia="Arial" w:hAnsi="Arial"/>
          <w:sz w:val="11"/>
          <w:szCs w:val="11"/>
          <w:color w:val="auto"/>
        </w:rPr>
      </w:pPr>
      <w:r>
        <w:rPr>
          <w:rFonts w:ascii="Arial" w:cs="Arial" w:eastAsia="Arial" w:hAnsi="Arial"/>
          <w:sz w:val="14"/>
          <w:szCs w:val="14"/>
          <w:color w:val="auto"/>
        </w:rPr>
        <w:t>Member of our corporate governance and nominating committee.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85"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Julian C. Baker </w:t>
      </w:r>
      <w:r>
        <w:rPr>
          <w:rFonts w:ascii="Arial" w:cs="Arial" w:eastAsia="Arial" w:hAnsi="Arial"/>
          <w:sz w:val="18"/>
          <w:szCs w:val="18"/>
          <w:color w:val="auto"/>
        </w:rPr>
        <w:t>is a Managing Member of Baker Bros. Advisors LP (“BBA”), a biotechnology-focused investment adviser to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whose investors are primarily endowments and foundations. Mr. Baker founded BBA, together with his brother Felix Baker, in 2000. Prior to BBA, Mr. Baker was a portfolio manager at Tisch Financial Management from 1994 to 1999. Previously, Mr. Baker was employed from 1988 to 1993 by the private equity investment arm of Credit Suisse First Boston Corporation. Mr. Baker currently serves on the boards of directors of public companies Acadia Pharmaceuticals, Inc., Incyte Corporation, Madrigal Pharmaceuticals, Inc., and Prelude Therapeutics, Inc. Mr. Baker holds an A.B. from Harvard University.</w:t>
      </w:r>
    </w:p>
    <w:p>
      <w:pPr>
        <w:spacing w:after="0" w:line="155"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We believe Mr. Baker’s extensive experience investing in life sciences companies and serving on the boards of directors of other public companies in the life sciences industry qualifies him to serve on our board.</w:t>
      </w:r>
    </w:p>
    <w:p>
      <w:pPr>
        <w:spacing w:after="0" w:line="112" w:lineRule="exact"/>
        <w:rPr>
          <w:sz w:val="20"/>
          <w:szCs w:val="20"/>
          <w:color w:val="auto"/>
        </w:rPr>
      </w:pPr>
    </w:p>
    <w:p>
      <w:pPr>
        <w:ind w:right="40" w:firstLine="486"/>
        <w:spacing w:after="0" w:line="278" w:lineRule="auto"/>
        <w:rPr>
          <w:sz w:val="20"/>
          <w:szCs w:val="20"/>
          <w:color w:val="auto"/>
        </w:rPr>
      </w:pPr>
      <w:r>
        <w:rPr>
          <w:rFonts w:ascii="Arial" w:cs="Arial" w:eastAsia="Arial" w:hAnsi="Arial"/>
          <w:sz w:val="17"/>
          <w:szCs w:val="17"/>
          <w:b w:val="1"/>
          <w:bCs w:val="1"/>
          <w:i w:val="1"/>
          <w:iCs w:val="1"/>
          <w:color w:val="auto"/>
        </w:rPr>
        <w:t xml:space="preserve">Peter Klein </w:t>
      </w:r>
      <w:r>
        <w:rPr>
          <w:rFonts w:ascii="Arial" w:cs="Arial" w:eastAsia="Arial" w:hAnsi="Arial"/>
          <w:sz w:val="17"/>
          <w:szCs w:val="17"/>
          <w:color w:val="auto"/>
        </w:rPr>
        <w:t>has served as a member of our board of directors since March 2018. Mr. Klein served as Chief Financial Officer of William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Morris Endeavor Entertainment, LLC (“WME”), a marketing firm, from January 2014 to June 2014. Prior to joining WME, Mr. Klein served as Chief Financial Officer at Microsoft Corporation from November 2009 until May 2013. Mr. Klein currently serves on the board of directors of F5 Inc., a software company. Mr. Klein previously served on the boards of directors of Apptio, Inc., Sarcos Technology and Robotics Corporation, and Accolade, Inc. Mr. Klein holds a B.A. in history from Yale University and an M.B.A. from the University of Washington.</w:t>
      </w:r>
    </w:p>
    <w:p>
      <w:pPr>
        <w:spacing w:after="0" w:line="123"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color w:val="auto"/>
        </w:rPr>
        <w:t>We believe Mr. Klein’s extensive experience as a senior finance executive, including as the chief financial officer of one of the world’s largest companies, qualifies him to serve on our board.</w:t>
      </w:r>
    </w:p>
    <w:p>
      <w:pPr>
        <w:spacing w:after="0" w:line="12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b w:val="1"/>
          <w:bCs w:val="1"/>
          <w:i w:val="1"/>
          <w:iCs w:val="1"/>
          <w:color w:val="auto"/>
        </w:rPr>
        <w:t xml:space="preserve">Steve E. Krognes </w:t>
      </w:r>
      <w:r>
        <w:rPr>
          <w:rFonts w:ascii="Arial" w:cs="Arial" w:eastAsia="Arial" w:hAnsi="Arial"/>
          <w:sz w:val="18"/>
          <w:szCs w:val="18"/>
          <w:color w:val="auto"/>
        </w:rPr>
        <w:t>served as Chief Financial Officer and Treasurer of Denali Therapeutics from October 2015 until April 30, 2022;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1, 2022 he was appointed to the board of directors. Mr. Krognes joined Denali from Genentech, where he served as Chief Financial Officer and a member of the Executive Committee from April 2009 to September 2015. Mr. Krognes also oversaw Genentech’s Site Services organization between 2011 and 2015, and Genentech’s IT organization between 2009 and 2011. He chaired the Genentech Access to Care Foundation between 2009 and 2015. From January 2004 to April 2009, Mr. Krognes served as Head of Mergers &amp; Acquisitions and a member of the Finance Executive Committee at Roche, a Swiss biotechnology company. From July 2002 to December 2003, Mr. Krognes served as Director of M&amp;A at Danske Bank based in Norway. Mr. Krognes currently serves on the boards of directors of public companies Pliant Therapeutics, Guardant Health, and Argenx SE, private company ClavystBio, and previously served on the boards of Corvus Pharmaceuticals, Inc., Gritstone bio, Inc., and RLS Global AB. Mr. Krognes also served as a board member of the California Life Science Association from 2010 to 2015 and California Academy of Sciences from 2014 to 2018. He received his M.B.A. from Harvard Business School and his B.S. in Economics from The Wharton School of the University of Pennsylvania.</w:t>
      </w:r>
    </w:p>
    <w:p>
      <w:pPr>
        <w:spacing w:after="0" w:line="142" w:lineRule="exact"/>
        <w:rPr>
          <w:sz w:val="20"/>
          <w:szCs w:val="20"/>
          <w:color w:val="auto"/>
        </w:rPr>
      </w:pPr>
    </w:p>
    <w:p>
      <w:pPr>
        <w:ind w:right="120" w:firstLine="486"/>
        <w:spacing w:after="0" w:line="281" w:lineRule="auto"/>
        <w:rPr>
          <w:sz w:val="20"/>
          <w:szCs w:val="20"/>
          <w:color w:val="auto"/>
        </w:rPr>
      </w:pPr>
      <w:r>
        <w:rPr>
          <w:rFonts w:ascii="Arial" w:cs="Arial" w:eastAsia="Arial" w:hAnsi="Arial"/>
          <w:sz w:val="18"/>
          <w:szCs w:val="18"/>
          <w:color w:val="auto"/>
        </w:rPr>
        <w:t>We believe Mr. Krognes' extensive experience as a senior finance executive, including as the chief financial officer of both Genentech and Denali, qualifies him to serve on our board.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8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Jennifer Cook </w:t>
      </w:r>
      <w:r>
        <w:rPr>
          <w:rFonts w:ascii="Arial" w:cs="Arial" w:eastAsia="Arial" w:hAnsi="Arial"/>
          <w:sz w:val="18"/>
          <w:szCs w:val="18"/>
          <w:color w:val="auto"/>
        </w:rPr>
        <w:t>has served on our board of directors since November 2018. Ms. Cook currently is the owner of Jennifer Cook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and serves as an advisor at Google Ventures. Ms. Cook served as the Chief Executive Officer of GRAIL from January 2018 to June 2019. Previously, Ms. Cook was at Roche Pharmaceuticals and Genentech, where she held a number of senior management positions; from January 2017 to December 2017, Ms. Cook served as Senior Vice President, Global Head of Clinical Operations for Roche Pharmaceuticals; from September 2013 to December 2016, Ms. Cook served as Head of Region Europe Pharma for Roche Pharmaceuticals; and from July 2010 to September 2013, Ms. Cook served as the Senior Vice President, Business Unit Head Immunology and Ophthalmology for Genentech. Ms. Cook currently also serves on the boards of directors of BridgeBio Pharma, Inc. and Jazz Pharmaceuticals. Ms. Cook holds a B.A. in human biology and an M.S. in biology from Stanford University, as well as an M.B.A. from the Haas School of Business at University of California, Berkeley.</w:t>
      </w:r>
    </w:p>
    <w:p>
      <w:pPr>
        <w:spacing w:after="0" w:line="154"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We believe Ms. Cook’s extensive experience as a senior management executive of healthcare and biotechnology companies, including as the senior vice president of one of the world’s largest healthcare companies, qualifies her to serve on our board of directors.</w:t>
      </w:r>
    </w:p>
    <w:p>
      <w:pPr>
        <w:spacing w:after="0" w:line="11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David Schenkein, M.D. </w:t>
      </w:r>
      <w:r>
        <w:rPr>
          <w:rFonts w:ascii="Arial" w:cs="Arial" w:eastAsia="Arial" w:hAnsi="Arial"/>
          <w:sz w:val="18"/>
          <w:szCs w:val="18"/>
          <w:color w:val="auto"/>
        </w:rPr>
        <w:t>has served as a member of our board of directors since April 2015. Dr. Schenkein currently is a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 GV (Google Ventures). Previously, Dr. Schenkein served as President and Chief Executive Officer of Agios Pharmaceuticals from August 2009 to January 2019. From March 2006 to July 2009, Dr. Schenkein served as a Senior Vice President of Oncology Development at Genentech. Dr. Schenkein currently serves on the boards of directors of Regeneron Pharmaceuticals and Prime Medicine, each of which is a public company, and on the boards of directors of a number of private companies. Previously, Dr. Schenkein served on the boards of directors of Agios Pharmaceuticals, Bluebird Bio, and Foundation Medicine. He also currently serves as an adjunct attending physician in hematology at Tufts Medical Center. Dr. Schenkein received his M.D. from the State University of New York Upstate Medical School and his B.A. in chemistry from Wesleyan University.</w:t>
      </w:r>
    </w:p>
    <w:p>
      <w:pPr>
        <w:spacing w:after="0" w:line="144" w:lineRule="exact"/>
        <w:rPr>
          <w:sz w:val="20"/>
          <w:szCs w:val="20"/>
          <w:color w:val="auto"/>
        </w:rPr>
      </w:pPr>
    </w:p>
    <w:p>
      <w:pPr>
        <w:ind w:right="60" w:firstLine="486"/>
        <w:spacing w:after="0" w:line="287" w:lineRule="auto"/>
        <w:rPr>
          <w:sz w:val="20"/>
          <w:szCs w:val="20"/>
          <w:color w:val="auto"/>
        </w:rPr>
      </w:pPr>
      <w:r>
        <w:rPr>
          <w:rFonts w:ascii="Arial" w:cs="Arial" w:eastAsia="Arial" w:hAnsi="Arial"/>
          <w:sz w:val="18"/>
          <w:szCs w:val="18"/>
          <w:color w:val="auto"/>
        </w:rPr>
        <w:t>We believe that Dr. Schenkein is qualified to serve on our board of directors because of his extensive background in the biotechnology industry and leadership experience as a senior executive and director of biotechnology companies.</w:t>
      </w:r>
    </w:p>
    <w:p>
      <w:pPr>
        <w:spacing w:after="0" w:line="1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Ryan J. Watts, Ph.D. </w:t>
      </w:r>
      <w:r>
        <w:rPr>
          <w:rFonts w:ascii="Arial" w:cs="Arial" w:eastAsia="Arial" w:hAnsi="Arial"/>
          <w:sz w:val="18"/>
          <w:szCs w:val="18"/>
          <w:i w:val="1"/>
          <w:iCs w:val="1"/>
          <w:color w:val="auto"/>
        </w:rPr>
        <w:t>i</w:t>
      </w:r>
      <w:r>
        <w:rPr>
          <w:rFonts w:ascii="Arial" w:cs="Arial" w:eastAsia="Arial" w:hAnsi="Arial"/>
          <w:sz w:val="18"/>
          <w:szCs w:val="18"/>
          <w:color w:val="auto"/>
        </w:rPr>
        <w:t>s one of our co-founders and has served as a member of our board of directors since March 2015 and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Executive Officer since August 2015. Previously, Dr. Watts was at Genentech, a biotechnology company, where he held various research and leadership roles of increasing responsibility between 2004 and 2015; including his time served as Director of the Department of Neuroscience from 2013 to February 2015. In addition, Dr. Watts led Genentech’s blood-brain barrier team between 2009 and 2015. Dr. Watts has authored and co-authored more than 60 scientific papers and has been an inventor on a number of patents in the blood-brain barrier and neurodegeneration fields. Dr. Watts currently serves on the boards of two privately held healthcare and biopharmaceutical companies, Rippl Care and Peel Therapeutics. Dr Watts is an Adjunct Professor in the Chemical and System Biology Department at Stanford University and an Adjunct Professor in the School of Biological Sciences at University of Utah. Dr. Watts received his Ph.D. in biological sciences from Stanford University and his B.S. in biology from the University of Utah.</w:t>
      </w:r>
    </w:p>
    <w:p>
      <w:pPr>
        <w:spacing w:after="0" w:line="154" w:lineRule="exact"/>
        <w:rPr>
          <w:sz w:val="20"/>
          <w:szCs w:val="20"/>
          <w:color w:val="auto"/>
        </w:rPr>
      </w:pPr>
    </w:p>
    <w:p>
      <w:pPr>
        <w:ind w:right="200" w:firstLine="486"/>
        <w:spacing w:after="0" w:line="268" w:lineRule="auto"/>
        <w:rPr>
          <w:sz w:val="20"/>
          <w:szCs w:val="20"/>
          <w:color w:val="auto"/>
        </w:rPr>
      </w:pPr>
      <w:r>
        <w:rPr>
          <w:rFonts w:ascii="Arial" w:cs="Arial" w:eastAsia="Arial" w:hAnsi="Arial"/>
          <w:sz w:val="18"/>
          <w:szCs w:val="18"/>
          <w:color w:val="auto"/>
        </w:rPr>
        <w:t>We believe Dr. Watts is qualified to serve on our board of directors because of the perspective and experience he provides as one of our co-founders and as our President and Chief Executive Officer, as well as his broad experience within the pharmaceutical industry, particularly in the area of neuroscience and drug discovery and development.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b w:val="1"/>
          <w:bCs w:val="1"/>
          <w:i w:val="1"/>
          <w:iCs w:val="1"/>
          <w:color w:val="auto"/>
        </w:rPr>
        <w:t xml:space="preserve">Jay Flatley </w:t>
      </w:r>
      <w:r>
        <w:rPr>
          <w:rFonts w:ascii="Arial" w:cs="Arial" w:eastAsia="Arial" w:hAnsi="Arial"/>
          <w:sz w:val="18"/>
          <w:szCs w:val="18"/>
          <w:color w:val="auto"/>
        </w:rPr>
        <w:t>has served as a member of our board of directors since April 2015. Mr. Flatley served as the Chairman and Acting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Zymergen Inc. until it was acquired by Gingko Bioworks in 2022. Mr. Flatley previously spent over 20 years serving in various leadership roles at Illumina, Inc., a public company focused on sequencing- and array-based solutions for genetic analysis. His roles included Chairman of the board of directors from January 2020 to May 2021, Executive Chairman from July 2016 to January 2020, Chief Executive Officer from December 2013 to July 2016, and Chief Executive Officer and President from October 1999 to December 2013. Prior to joining Illumina, Mr. Flatley was co-founder, President, Chief Executive Officer, and a director of Molecular Dynamics, a life sciences company focused on genetic discovery and analysis, from July 1994 until its sale to Amersham Pharmacia Biotech in September 1998. Mr. Flatley also serves as Chairman of the Wellcome Trust Leap Fund, is Chairman of the board of Cellanome and Iridia, is on the board of directors at Rivian Automotive, on the board of trustees for The Salk Institute, and is an Advisory Board member for UC San Diego's Moores Cancer Center. Mr. Flatley previously served on the boards of directors of Zymergen, Juno Therapeutics, and Coherent Inc. Mr. Flatley received his B.S. and M.S. in industrial engineering from Stanford University and his B.A. in economics from Claremont McKenna College.</w:t>
      </w:r>
    </w:p>
    <w:p>
      <w:pPr>
        <w:spacing w:after="0" w:line="155"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color w:val="auto"/>
        </w:rPr>
        <w:t>We believe Mr. Flatley is qualified to serve on our board of directors because of his extensive background in the life sciences industry and leadership experience as a senior executive of companies in the life sciences industry.</w:t>
      </w:r>
    </w:p>
    <w:p>
      <w:pPr>
        <w:spacing w:after="0" w:line="11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b w:val="1"/>
          <w:bCs w:val="1"/>
          <w:i w:val="1"/>
          <w:iCs w:val="1"/>
          <w:color w:val="auto"/>
        </w:rPr>
        <w:t xml:space="preserve">Marc Tessier-Lavigne, Ph.D. </w:t>
      </w:r>
      <w:r>
        <w:rPr>
          <w:rFonts w:ascii="Arial" w:cs="Arial" w:eastAsia="Arial" w:hAnsi="Arial"/>
          <w:sz w:val="18"/>
          <w:szCs w:val="18"/>
          <w:color w:val="auto"/>
        </w:rPr>
        <w:t>is one of our co-founders and has served as a member of our board of directors since March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March 2015 to August 2016, Dr. Tessier-Lavigne served as the Chairman of our board of directors. Since April 2024, Dr. Tessier-Lavigne has been Chairman and CEO of Xaira Therapeutics, a private biotechnology company. From September 2016 until August 2023, he served as President of Stanford University, and currently serves as Professor of Biology at Stanford (on leave). From March 2011 to September 2016, he served as President of The Rockefeller University, as well as professor and head of the Laboratory of Brain Development and Repair. From September 2003 to March 2011, Dr. Tessier-Lavigne served in positions of increasing responsibility at Genentech, where in 2009 he was named Executive Vice President for Research and Chief Scientific Officer. Previously, he served on the boards of directors of Regeneron Pharmaceuticals, Pfizer, Juno Therapeutics, and Agios Pharmaceuticals. Dr. Tessier-Lavigne received his Ph.D. in neurophysiology from University College London, his B.A. in philosophy and physiology from Oxford University, and his B.Sc. in physics from McGill University. He conducted postdoctoral work at the MRC Developmental Neurobiology Unit in London and at Columbia University.</w:t>
      </w:r>
    </w:p>
    <w:p>
      <w:pPr>
        <w:spacing w:after="0" w:line="142"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We believe Dr. Tessier-Lavigne is qualified to serve on our board of directors because of his pioneering research, scientific knowledge, experience as one of our co-founders, service on boards of directors of public companies in the life sciences industry, and leadership in the biotechnology industry.</w:t>
      </w:r>
    </w:p>
    <w:p>
      <w:pPr>
        <w:spacing w:after="0" w:line="14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Nancy A. Thornberry </w:t>
      </w:r>
      <w:r>
        <w:rPr>
          <w:rFonts w:ascii="Arial" w:cs="Arial" w:eastAsia="Arial" w:hAnsi="Arial"/>
          <w:sz w:val="18"/>
          <w:szCs w:val="18"/>
          <w:color w:val="auto"/>
        </w:rPr>
        <w:t>has served on our board of directors since January 2021. Ms. Thornberry served as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Kallyope, Inc. from November 2015 until October 2021, and currently serves on its board of directors and as Chair, R&amp;D. Ms. Thornberry also serves on the boards of directors of Vertex Pharmaceuticals and Schrödinger, both of which are public companies, Adimab, a private company, and NY Genome Center, a non-profit institution; she previously served on the boards of Intarcia Therapeutics and Abide Therapeutics. Between August 2013 and October 2015, Ms. Thornberry was self-employed as a consultant to companies in the biotechnology and pharmaceutical industries. Prior to that, Ms. Thornberry spent over 30 years at Merck, a pharmaceutical company, where she held a variety of positions including Senior Vice President and Franchise Head, Diabetes and Endocrinology, from April 2011 to July 2013, Senior Vice President and Franchise Head, Diabetes and Obesity, from September 2009 to April 2011, Vice President, Worldwide Basic Research Head, Diabetes and Obesity, from February 2007 to September 2009, and Executive Director, Metabolic Disorders, from 2004 to February 2007, among other positions. Ms. Thornberry received a B.S. in Chemistry and Biology from Muhlenberg College.</w:t>
      </w:r>
    </w:p>
    <w:p>
      <w:pPr>
        <w:spacing w:after="0" w:line="145" w:lineRule="exact"/>
        <w:rPr>
          <w:sz w:val="20"/>
          <w:szCs w:val="20"/>
          <w:color w:val="auto"/>
        </w:rPr>
      </w:pPr>
    </w:p>
    <w:p>
      <w:pPr>
        <w:ind w:right="860" w:firstLine="486"/>
        <w:spacing w:after="0" w:line="281" w:lineRule="auto"/>
        <w:rPr>
          <w:sz w:val="20"/>
          <w:szCs w:val="20"/>
          <w:color w:val="auto"/>
        </w:rPr>
      </w:pPr>
      <w:r>
        <w:rPr>
          <w:rFonts w:ascii="Arial" w:cs="Arial" w:eastAsia="Arial" w:hAnsi="Arial"/>
          <w:sz w:val="18"/>
          <w:szCs w:val="18"/>
          <w:color w:val="auto"/>
        </w:rPr>
        <w:t>We believe Ms. Thornberry is qualified to serve on our board of directors because of her extensive scientific background and experience in the life sciences industry.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Departing Directors</w:t>
      </w:r>
    </w:p>
    <w:p>
      <w:pPr>
        <w:spacing w:after="0" w:line="19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b w:val="1"/>
          <w:bCs w:val="1"/>
          <w:i w:val="1"/>
          <w:iCs w:val="1"/>
          <w:color w:val="auto"/>
        </w:rPr>
        <w:t xml:space="preserve">Vicki Sato, Ph.D. </w:t>
      </w:r>
      <w:r>
        <w:rPr>
          <w:rFonts w:ascii="Arial" w:cs="Arial" w:eastAsia="Arial" w:hAnsi="Arial"/>
          <w:sz w:val="18"/>
          <w:szCs w:val="18"/>
          <w:color w:val="auto"/>
        </w:rPr>
        <w:t>has served as a member of our board of directors since April 2015 and as Chairperson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2016. Currently she is a Venture Partner at ARCH Venture Capital. From September 2006 until July 2017, Dr. Sato served as a Professor of Management Practice at Harvard Business School. From July 2005 until October 2015, she also had an appointment as Professor of the Practice in the Department of Molecular and Cell Biology at Harvard University. From September 2000 to May 2005, Dr. Sato served as the President of Vertex Pharmaceuticals, a pharmaceutical company, with general management responsibility for business and corporate development, commercial operations, legal and finance, in addition to research and development. From 1992 until 2000, she served as the Chief Scientific Officer and Senior Vice President of Research and Development of Vertex Pharmaceuticals. Dr. Sato joined Vertex Pharmaceuticals in 1992, after serving as Vice President of Research at Biogen, a biotechnology company, where she also served as a member of the Scientific Board. Dr. Sato serves on the boards of directors of Allogene Therapeutics and Vir Biotechnology, Inc., each of which is a public company, and on the boards of directors of multiple private companies. She previously served on the boards of directors of Akouos, Inc. until its acquisition in December 2022, Bristol-Myers Squibb Company until May 2021, BorgWarner Corporation until April 2021, Syros Pharmaceuticals until December 2019, and PerkinElmer until April 2017. Dr. Sato received her A.M. and Ph.D. degrees from Harvard University and her A.B. in biology from Radcliffe College.</w:t>
      </w:r>
    </w:p>
    <w:p>
      <w:pPr>
        <w:spacing w:after="0" w:line="147" w:lineRule="exact"/>
        <w:rPr>
          <w:sz w:val="20"/>
          <w:szCs w:val="20"/>
          <w:color w:val="auto"/>
        </w:rPr>
      </w:pPr>
    </w:p>
    <w:p>
      <w:pPr>
        <w:ind w:right="580" w:firstLine="486"/>
        <w:spacing w:after="0" w:line="287" w:lineRule="auto"/>
        <w:rPr>
          <w:sz w:val="20"/>
          <w:szCs w:val="20"/>
          <w:color w:val="auto"/>
        </w:rPr>
      </w:pPr>
      <w:r>
        <w:rPr>
          <w:rFonts w:ascii="Arial" w:cs="Arial" w:eastAsia="Arial" w:hAnsi="Arial"/>
          <w:sz w:val="18"/>
          <w:szCs w:val="18"/>
          <w:color w:val="auto"/>
        </w:rPr>
        <w:t>Dr. Sato will be departing from the board of directors following the Annual Meeting, and the company thanks her for her service, guidance, and significant contributions as a founding director.</w:t>
      </w:r>
    </w:p>
    <w:p>
      <w:pPr>
        <w:spacing w:after="0" w:line="11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b w:val="1"/>
          <w:bCs w:val="1"/>
          <w:i w:val="1"/>
          <w:iCs w:val="1"/>
          <w:color w:val="auto"/>
        </w:rPr>
        <w:t xml:space="preserve">Erik Harris </w:t>
      </w:r>
      <w:r>
        <w:rPr>
          <w:rFonts w:ascii="Arial" w:cs="Arial" w:eastAsia="Arial" w:hAnsi="Arial"/>
          <w:sz w:val="17"/>
          <w:szCs w:val="17"/>
          <w:color w:val="auto"/>
        </w:rPr>
        <w:t>has served as a member of our board of directors since February 2022. Erik Harris currently serves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Officer and Executive Vice President of Ultragenyx Pharmaceutical Inc., a biopharmaceutical company focused on the development of a diverse portfolio of therapies for patients with rare and ultra-rare genetic diseases. Prior to his appointment as Chief Commercial Officer, Mr. Harris served as the Senior Vice President and Head of North American Commercial Operations at Ultragenyx from July 2017 to June 2019. Mr. Harris’s prior business experience includes six years at Crescendo Bioscience, a molecular diagnostic company, most recently as Vice President of Commercial. Earlier in his career, Mr. Harris served as Vice President of Marketing at Intermune, Inc. and also held positions in the commercial organizations at Elan Pharmaceuticals, Inc., Genentech, Inc., and Bristol-Myers Squibb Company. At the start of his professional career, Mr. Harris served as a Lieutenant Commander in Naval Aviation and Congressional Fellow for the United States Navy. Mr. Harris currently serves on the board of directors of public company Inozyme Pharma, Inc. Mr. Harris received his Master of Business Administration at the Wharton School of Business, and Bachelor of Science at the United States Naval Academy.</w:t>
      </w:r>
    </w:p>
    <w:p>
      <w:pPr>
        <w:spacing w:after="0" w:line="142" w:lineRule="exact"/>
        <w:rPr>
          <w:sz w:val="20"/>
          <w:szCs w:val="20"/>
          <w:color w:val="auto"/>
        </w:rPr>
      </w:pPr>
    </w:p>
    <w:p>
      <w:pPr>
        <w:ind w:right="460" w:firstLine="486"/>
        <w:spacing w:after="0" w:line="287" w:lineRule="auto"/>
        <w:rPr>
          <w:sz w:val="20"/>
          <w:szCs w:val="20"/>
          <w:color w:val="auto"/>
        </w:rPr>
      </w:pPr>
      <w:r>
        <w:rPr>
          <w:rFonts w:ascii="Arial" w:cs="Arial" w:eastAsia="Arial" w:hAnsi="Arial"/>
          <w:sz w:val="18"/>
          <w:szCs w:val="18"/>
          <w:color w:val="auto"/>
        </w:rPr>
        <w:t>Mr. Harris will be departing from the board of directors following the Annual Meeting, and the company thanks him for his service, guidance, and significant contributions as a director.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5"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Our common stock is listed on The Nasdaq Global Select Market ("Nasdaq"). Under the Nasdaq rules, independent directors must comprise a majority of a listed company’s board of directors within a specified period after the completion of its initial public offering. In addition, the Nasdaq rules require that, subject to specified exceptions, each member of a listed company’s audit, compensation, and nominating and governance committees be independent. Audit committee members and compensation committee members must also satisfy the independence criteria set forth in Rule 10A-3 and Rule 10C-1, respectively, under the Exchange Act. Under the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To be considered independent for purposes of Rule 10A-3 and under the Nasdaq rules, a member of an audit committee of a listed company may not, other than in his or her capacity as a member of our audit committee, our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4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To be considered independent for purposes of Rule 10C-1 and under the Nasdaq rules,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42"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none of Mses. Cook and Thornberry, Messrs. Flatley, Harris, and Klein, and Drs. Sato, Schenkein and Tessier-Lavigne, representing eight of our ten current directors, nor Mr. Baker, representing our new director nominee, have a relationship that would interfere with the exercise of independent judgment in carrying out the responsibilities of a director, and that each of these directors and director nominees is “independent” as that term is defined under the Nasdaq rules. Dr. Watts, our Chief Executive Officer, and Mr. Krognes, our former Chief Financial Officer, are not considered independent under Nasdaq’s independence standards. However, we expect that Mr. Krognes will become independent on May 1, 2025, three years after he ceased serving as our Chief Financial Officer. Our board of directors also determined that Messrs. Klein (chairperson), Flatley, and Harris, who comprise our audit committee, and Messrs. Flatley (chairperson) and Klein and Ms. Thornberry, who comprise our compensation committee, satisfy the independence standards for committee members established by applicable SEC rules and the Nasdaq listing standards. Effective as of the Annual Meeting, Mr. Krognes will join our audit committee.</w:t>
      </w:r>
    </w:p>
    <w:p>
      <w:pPr>
        <w:spacing w:after="0" w:line="145"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“Related Party Transactions.”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board of directors is currently chaired by Dr. Sato. Mr. Baker will serve as Chairperson of our board of directors upon his election to our board of directors at the Annual Meeting. As a general policy, our board of directors believes that separation of the positions of Chairperson and Chief Executive Officer reinforces the independence of the board of directors from management, creates an environment that encourages objective oversight of management’s performance, and enhances the effectiveness of the board of directors as a whole. As such, Dr. Watts serves as our President and Chief Executive Officer while Dr. Sato serves as our Chairperson of the board of directors but is not an officer. Mr. Baker will serve as our Chairperson of the board of directors effective as of the Annual Meeting and is not an officer. We expect and intend the positions of Chairperson of the board of directors and Chief Executive Officer to continue to be held by two individuals in the future.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8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During 2024, our board of directors held five meetings (including regularly scheduled and special meetings), and each director attended at least 87.5% of the aggregate of (i) the total number of meetings of our board of directors held during the period for which he or she served as a director and (ii) the total number of meetings held by all committees of our board of directors on which he or she served during the periods that he or she served.</w:t>
      </w:r>
    </w:p>
    <w:p>
      <w:pPr>
        <w:spacing w:after="0" w:line="149"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It is the policy of our board of directors to regularly have separate meeting times for independent directors without management. Although we do not have a formal policy regarding attendance by members of our board of directors at annual meetings of stockholders, we encourage, but do not require, our directors to attend. Seven directors attended our 2024 annual meeting of stockholders.</w:t>
      </w:r>
    </w:p>
    <w:p>
      <w:pPr>
        <w:spacing w:after="0" w:line="13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have established an audit committee, a compensation committee, a corporate governance and nominating committee, and a science and technology committee. We believe that the composition of these committees meets the criteria for independence under, and the functioning of these committees comply with the requirements of, the Sarbanes-Oxley Act of 2002, the Nasdaq rules, and SEC rules and regulations. The following table sets forth information regarding the current membership of our board of directors and committees of the board of directors.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2024 Meeting</w:t>
            </w:r>
          </w:p>
        </w:tc>
        <w:tc>
          <w:tcPr>
            <w:tcW w:w="0" w:type="dxa"/>
            <w:vAlign w:val="bottom"/>
          </w:tcPr>
          <w:p>
            <w:pPr>
              <w:spacing w:after="0"/>
              <w:rPr>
                <w:sz w:val="1"/>
                <w:szCs w:val="1"/>
                <w:color w:val="auto"/>
              </w:rPr>
            </w:pPr>
          </w:p>
        </w:tc>
      </w:tr>
      <w:tr>
        <w:trPr>
          <w:trHeight w:val="144"/>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Independence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Board</w:t>
            </w:r>
          </w:p>
        </w:tc>
        <w:tc>
          <w:tcPr>
            <w:tcW w:w="17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Audit Committee</w:t>
            </w:r>
          </w:p>
        </w:tc>
        <w:tc>
          <w:tcPr>
            <w:tcW w:w="1460" w:type="dxa"/>
            <w:vAlign w:val="bottom"/>
            <w:vMerge w:val="continue"/>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Governance &amp;</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8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Nominating</w:t>
            </w:r>
          </w:p>
        </w:tc>
        <w:tc>
          <w:tcPr>
            <w:tcW w:w="1480" w:type="dxa"/>
            <w:vAlign w:val="bottom"/>
            <w:tcBorders>
              <w:bottom w:val="single" w:sz="8" w:color="auto"/>
            </w:tcBorders>
          </w:tcPr>
          <w:p>
            <w:pPr>
              <w:ind w:left="280"/>
              <w:spacing w:after="0" w:line="189" w:lineRule="exact"/>
              <w:rPr>
                <w:sz w:val="20"/>
                <w:szCs w:val="20"/>
                <w:color w:val="auto"/>
              </w:rPr>
            </w:pPr>
            <w:r>
              <w:rPr>
                <w:rFonts w:ascii="Arial" w:cs="Arial" w:eastAsia="Arial" w:hAnsi="Arial"/>
                <w:sz w:val="14"/>
                <w:szCs w:val="14"/>
                <w:b w:val="1"/>
                <w:bCs w:val="1"/>
                <w:color w:val="auto"/>
              </w:rPr>
              <w:t>Attendance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387"/>
        </w:trPr>
        <w:tc>
          <w:tcPr>
            <w:tcW w:w="2180" w:type="dxa"/>
            <w:vAlign w:val="bottom"/>
          </w:tcPr>
          <w:p>
            <w:pPr>
              <w:ind w:left="20"/>
              <w:spacing w:after="0"/>
              <w:rPr>
                <w:sz w:val="20"/>
                <w:szCs w:val="20"/>
                <w:color w:val="auto"/>
              </w:rPr>
            </w:pPr>
            <w:r>
              <w:rPr>
                <w:rFonts w:ascii="Arial" w:cs="Arial" w:eastAsia="Arial" w:hAnsi="Arial"/>
                <w:sz w:val="14"/>
                <w:szCs w:val="14"/>
                <w:color w:val="auto"/>
              </w:rPr>
              <w:t>Vicki Sato, Ph.D.</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513"/>
        </w:trPr>
        <w:tc>
          <w:tcPr>
            <w:tcW w:w="2180" w:type="dxa"/>
            <w:vAlign w:val="bottom"/>
          </w:tcPr>
          <w:p>
            <w:pPr>
              <w:ind w:left="20"/>
              <w:spacing w:after="0"/>
              <w:rPr>
                <w:sz w:val="20"/>
                <w:szCs w:val="20"/>
                <w:color w:val="auto"/>
              </w:rPr>
            </w:pPr>
            <w:r>
              <w:rPr>
                <w:rFonts w:ascii="Arial" w:cs="Arial" w:eastAsia="Arial" w:hAnsi="Arial"/>
                <w:sz w:val="14"/>
                <w:szCs w:val="14"/>
                <w:color w:val="auto"/>
              </w:rPr>
              <w:t>Jennifer Cook</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14"/>
                <w:szCs w:val="14"/>
                <w:color w:val="auto"/>
              </w:rPr>
              <w:t>Jay Flatley</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99"/>
        </w:trPr>
        <w:tc>
          <w:tcPr>
            <w:tcW w:w="2180" w:type="dxa"/>
            <w:vAlign w:val="bottom"/>
          </w:tcPr>
          <w:p>
            <w:pPr>
              <w:ind w:left="20"/>
              <w:spacing w:after="0"/>
              <w:rPr>
                <w:sz w:val="20"/>
                <w:szCs w:val="20"/>
                <w:color w:val="auto"/>
              </w:rPr>
            </w:pPr>
            <w:r>
              <w:rPr>
                <w:rFonts w:ascii="Arial" w:cs="Arial" w:eastAsia="Arial" w:hAnsi="Arial"/>
                <w:sz w:val="14"/>
                <w:szCs w:val="14"/>
                <w:color w:val="auto"/>
              </w:rPr>
              <w:t>Erik Harris</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14"/>
                <w:szCs w:val="14"/>
                <w:color w:val="auto"/>
              </w:rPr>
              <w:t>Peter Klein</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49"/>
        </w:trPr>
        <w:tc>
          <w:tcPr>
            <w:tcW w:w="2180" w:type="dxa"/>
            <w:vAlign w:val="bottom"/>
          </w:tcPr>
          <w:p>
            <w:pPr>
              <w:ind w:left="20"/>
              <w:spacing w:after="0"/>
              <w:rPr>
                <w:sz w:val="20"/>
                <w:szCs w:val="20"/>
                <w:color w:val="auto"/>
              </w:rPr>
            </w:pPr>
            <w:r>
              <w:rPr>
                <w:rFonts w:ascii="Arial" w:cs="Arial" w:eastAsia="Arial" w:hAnsi="Arial"/>
                <w:sz w:val="14"/>
                <w:szCs w:val="14"/>
                <w:color w:val="auto"/>
              </w:rPr>
              <w:t>Steve E. Krognes</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550"/>
        </w:trPr>
        <w:tc>
          <w:tcPr>
            <w:tcW w:w="2180" w:type="dxa"/>
            <w:vAlign w:val="bottom"/>
          </w:tcPr>
          <w:p>
            <w:pPr>
              <w:ind w:left="20"/>
              <w:spacing w:after="0"/>
              <w:rPr>
                <w:sz w:val="20"/>
                <w:szCs w:val="20"/>
                <w:color w:val="auto"/>
              </w:rPr>
            </w:pPr>
            <w:r>
              <w:rPr>
                <w:rFonts w:ascii="Arial" w:cs="Arial" w:eastAsia="Arial" w:hAnsi="Arial"/>
                <w:sz w:val="14"/>
                <w:szCs w:val="14"/>
                <w:color w:val="auto"/>
              </w:rPr>
              <w:t>David Schenkein, M.D.</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14"/>
                <w:szCs w:val="14"/>
                <w:color w:val="auto"/>
              </w:rPr>
              <w:t>Marc Tessier-Lavigne, Ph.D.</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14"/>
                <w:szCs w:val="14"/>
                <w:color w:val="auto"/>
              </w:rPr>
              <w:t>Nancy A. Thornberry</w:t>
            </w:r>
          </w:p>
        </w:tc>
        <w:tc>
          <w:tcPr>
            <w:tcW w:w="1700" w:type="dxa"/>
            <w:vAlign w:val="bottom"/>
          </w:tcPr>
          <w:p>
            <w:pPr>
              <w:jc w:val="center"/>
              <w:spacing w:after="0"/>
              <w:rPr>
                <w:sz w:val="20"/>
                <w:szCs w:val="20"/>
                <w:color w:val="auto"/>
              </w:rPr>
            </w:pPr>
            <w:r>
              <w:rPr>
                <w:rFonts w:ascii="Webdings" w:cs="Webdings" w:eastAsia="Webdings" w:hAnsi="Webdings"/>
                <w:sz w:val="29"/>
                <w:szCs w:val="29"/>
                <w:b w:val="1"/>
                <w:bCs w:val="1"/>
                <w:color w:val="auto"/>
                <w:w w:val="96"/>
              </w:rPr>
              <w:t>a</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49"/>
        </w:trPr>
        <w:tc>
          <w:tcPr>
            <w:tcW w:w="2180" w:type="dxa"/>
            <w:vAlign w:val="bottom"/>
          </w:tcPr>
          <w:p>
            <w:pPr>
              <w:ind w:left="20"/>
              <w:spacing w:after="0"/>
              <w:rPr>
                <w:sz w:val="20"/>
                <w:szCs w:val="20"/>
                <w:color w:val="auto"/>
              </w:rPr>
            </w:pPr>
            <w:r>
              <w:rPr>
                <w:rFonts w:ascii="Arial" w:cs="Arial" w:eastAsia="Arial" w:hAnsi="Arial"/>
                <w:sz w:val="14"/>
                <w:szCs w:val="14"/>
                <w:color w:val="auto"/>
              </w:rPr>
              <w:t>Ryan J. Watts, Ph.D.</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32"/>
        </w:trPr>
        <w:tc>
          <w:tcPr>
            <w:tcW w:w="2180" w:type="dxa"/>
            <w:vAlign w:val="bottom"/>
          </w:tcPr>
          <w:p>
            <w:pPr>
              <w:ind w:left="20"/>
              <w:spacing w:after="0"/>
              <w:rPr>
                <w:sz w:val="20"/>
                <w:szCs w:val="20"/>
                <w:color w:val="auto"/>
              </w:rPr>
            </w:pPr>
            <w:r>
              <w:rPr>
                <w:rFonts w:ascii="Arial" w:cs="Arial" w:eastAsia="Arial" w:hAnsi="Arial"/>
                <w:sz w:val="14"/>
                <w:szCs w:val="14"/>
                <w:color w:val="auto"/>
              </w:rPr>
              <w:t>2024 Meetings</w:t>
            </w:r>
          </w:p>
        </w:tc>
        <w:tc>
          <w:tcPr>
            <w:tcW w:w="1700" w:type="dxa"/>
            <w:vAlign w:val="bottom"/>
          </w:tcPr>
          <w:p>
            <w:pPr>
              <w:spacing w:after="0"/>
              <w:rPr>
                <w:sz w:val="24"/>
                <w:szCs w:val="24"/>
                <w:color w:val="auto"/>
              </w:rPr>
            </w:pPr>
          </w:p>
        </w:tc>
        <w:tc>
          <w:tcPr>
            <w:tcW w:w="1180" w:type="dxa"/>
            <w:vAlign w:val="bottom"/>
            <w:vMerge w:val="restart"/>
          </w:tcPr>
          <w:p>
            <w:pPr>
              <w:jc w:val="right"/>
              <w:ind w:right="448"/>
              <w:spacing w:after="0"/>
              <w:rPr>
                <w:sz w:val="20"/>
                <w:szCs w:val="20"/>
                <w:color w:val="auto"/>
              </w:rPr>
            </w:pPr>
            <w:r>
              <w:rPr>
                <w:rFonts w:ascii="Arial" w:cs="Arial" w:eastAsia="Arial" w:hAnsi="Arial"/>
                <w:sz w:val="14"/>
                <w:szCs w:val="14"/>
                <w:color w:val="auto"/>
              </w:rPr>
              <w:t>5</w:t>
            </w:r>
          </w:p>
        </w:tc>
        <w:tc>
          <w:tcPr>
            <w:tcW w:w="1720" w:type="dxa"/>
            <w:vAlign w:val="bottom"/>
            <w:vMerge w:val="restart"/>
          </w:tcPr>
          <w:p>
            <w:pPr>
              <w:jc w:val="right"/>
              <w:ind w:right="668"/>
              <w:spacing w:after="0"/>
              <w:rPr>
                <w:sz w:val="20"/>
                <w:szCs w:val="20"/>
                <w:color w:val="auto"/>
              </w:rPr>
            </w:pPr>
            <w:r>
              <w:rPr>
                <w:rFonts w:ascii="Arial" w:cs="Arial" w:eastAsia="Arial" w:hAnsi="Arial"/>
                <w:sz w:val="14"/>
                <w:szCs w:val="14"/>
                <w:color w:val="auto"/>
              </w:rPr>
              <w:t>5</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-3423285</wp:posOffset>
            </wp:positionV>
            <wp:extent cx="274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-3423285</wp:posOffset>
            </wp:positionV>
            <wp:extent cx="27432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-3097530</wp:posOffset>
            </wp:positionV>
            <wp:extent cx="274320"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-3080385</wp:posOffset>
            </wp:positionV>
            <wp:extent cx="18859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21463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-2780030</wp:posOffset>
            </wp:positionV>
            <wp:extent cx="27432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-2780030</wp:posOffset>
            </wp:positionV>
            <wp:extent cx="274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-2762885</wp:posOffset>
            </wp:positionV>
            <wp:extent cx="188595"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21463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-2463165</wp:posOffset>
            </wp:positionV>
            <wp:extent cx="27432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-2463165</wp:posOffset>
            </wp:positionV>
            <wp:extent cx="274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-2145665</wp:posOffset>
            </wp:positionV>
            <wp:extent cx="274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-2128520</wp:posOffset>
            </wp:positionV>
            <wp:extent cx="188595"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 cy="21463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-2145665</wp:posOffset>
            </wp:positionV>
            <wp:extent cx="27432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-1828800</wp:posOffset>
            </wp:positionV>
            <wp:extent cx="27432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-1511300</wp:posOffset>
            </wp:positionV>
            <wp:extent cx="27432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-1511300</wp:posOffset>
            </wp:positionV>
            <wp:extent cx="274320"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-1194435</wp:posOffset>
            </wp:positionV>
            <wp:extent cx="27432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-1194435</wp:posOffset>
            </wp:positionV>
            <wp:extent cx="274320"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-876935</wp:posOffset>
            </wp:positionV>
            <wp:extent cx="27432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-876935</wp:posOffset>
            </wp:positionV>
            <wp:extent cx="27432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-560070</wp:posOffset>
            </wp:positionV>
            <wp:extent cx="27432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3951605"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5160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30518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1"/>
          <w:szCs w:val="11"/>
          <w:color w:val="auto"/>
        </w:rPr>
      </w:pPr>
      <w:r>
        <w:rPr>
          <w:rFonts w:ascii="Arial" w:cs="Arial" w:eastAsia="Arial" w:hAnsi="Arial"/>
          <w:sz w:val="14"/>
          <w:szCs w:val="14"/>
          <w:color w:val="auto"/>
        </w:rPr>
        <w:t>Includes meetings of the board of directors and meetings of each committee of the board while the director served on the board and such committee, respectively.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committee has the responsibilities described below.</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members of our audit committee are detailed in the table above. All members of our audit committee meet the requirements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independence and financial literacy of audit committee members under Nasdaq listing standards and SEC rules and regulations. Our audit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chairperson, Mr. Klein, is our audit committee financial expert, as that term is defined under the SEC rules implementing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407 of the Sarbanes-Oxley Act of 2002, and possesses financial sophistication, as defined under Nasdaq listing standards.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Annual Meeting, Mr. Krognes will join our audit committee. Mr. Krognes will meet the requirements for independence of audit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members under Nasdaq listing standards and SEC rules and regulations on May 1, 2025, three years after he ceased serving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Chief Financial Officer. Mr. Krognes also meets the requirements for financial literacy of audit committee members under the 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listing standards and SEC rules and regulations.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responsibilities of our audit committee include, among other things:</w:t>
      </w:r>
    </w:p>
    <w:p>
      <w:pPr>
        <w:spacing w:after="0" w:line="185" w:lineRule="exact"/>
        <w:rPr>
          <w:sz w:val="20"/>
          <w:szCs w:val="20"/>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 to audit our financial statements;</w:t>
      </w:r>
    </w:p>
    <w:p>
      <w:pPr>
        <w:spacing w:after="0" w:line="184" w:lineRule="exact"/>
        <w:rPr>
          <w:rFonts w:ascii="Arial" w:cs="Arial" w:eastAsia="Arial" w:hAnsi="Arial"/>
          <w:sz w:val="18"/>
          <w:szCs w:val="18"/>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98" w:lineRule="exact"/>
        <w:rPr>
          <w:rFonts w:ascii="Arial" w:cs="Arial" w:eastAsia="Arial" w:hAnsi="Arial"/>
          <w:sz w:val="18"/>
          <w:szCs w:val="18"/>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pre-approving all audit and non-audit services and fees;</w:t>
      </w:r>
    </w:p>
    <w:p>
      <w:pPr>
        <w:spacing w:after="0" w:line="184" w:lineRule="exact"/>
        <w:rPr>
          <w:rFonts w:ascii="Arial" w:cs="Arial" w:eastAsia="Arial" w:hAnsi="Arial"/>
          <w:sz w:val="18"/>
          <w:szCs w:val="18"/>
          <w:color w:val="auto"/>
        </w:rPr>
      </w:pPr>
    </w:p>
    <w:p>
      <w:pPr>
        <w:ind w:left="1800" w:hanging="496"/>
        <w:spacing w:after="0" w:line="262" w:lineRule="auto"/>
        <w:tabs>
          <w:tab w:leader="none" w:pos="17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financial statements and discussing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135" w:lineRule="exact"/>
        <w:rPr>
          <w:rFonts w:ascii="Arial" w:cs="Arial" w:eastAsia="Arial" w:hAnsi="Arial"/>
          <w:sz w:val="18"/>
          <w:szCs w:val="18"/>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to be included in our annual proxy statement;</w:t>
      </w:r>
    </w:p>
    <w:p>
      <w:pPr>
        <w:spacing w:after="0" w:line="198" w:lineRule="exact"/>
        <w:rPr>
          <w:rFonts w:ascii="Arial" w:cs="Arial" w:eastAsia="Arial" w:hAnsi="Arial"/>
          <w:sz w:val="18"/>
          <w:szCs w:val="18"/>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reports and communications from the independent registered public accounting firm;</w:t>
      </w:r>
    </w:p>
    <w:p>
      <w:pPr>
        <w:spacing w:after="0" w:line="184" w:lineRule="exact"/>
        <w:rPr>
          <w:rFonts w:ascii="Arial" w:cs="Arial" w:eastAsia="Arial" w:hAnsi="Arial"/>
          <w:sz w:val="18"/>
          <w:szCs w:val="18"/>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 and disclosure controls and procedures;</w:t>
      </w:r>
    </w:p>
    <w:p>
      <w:pPr>
        <w:spacing w:after="0" w:line="184" w:lineRule="exact"/>
        <w:rPr>
          <w:rFonts w:ascii="Arial" w:cs="Arial" w:eastAsia="Arial" w:hAnsi="Arial"/>
          <w:sz w:val="18"/>
          <w:szCs w:val="18"/>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 including risk concerning information security;</w:t>
      </w:r>
    </w:p>
    <w:p>
      <w:pPr>
        <w:spacing w:after="0" w:line="198" w:lineRule="exact"/>
        <w:rPr>
          <w:rFonts w:ascii="Arial" w:cs="Arial" w:eastAsia="Arial" w:hAnsi="Arial"/>
          <w:sz w:val="18"/>
          <w:szCs w:val="18"/>
          <w:color w:val="auto"/>
        </w:rPr>
      </w:pPr>
    </w:p>
    <w:p>
      <w:pPr>
        <w:ind w:left="1780" w:hanging="476"/>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84" w:lineRule="exact"/>
        <w:rPr>
          <w:rFonts w:ascii="Arial" w:cs="Arial" w:eastAsia="Arial" w:hAnsi="Arial"/>
          <w:sz w:val="18"/>
          <w:szCs w:val="18"/>
          <w:color w:val="auto"/>
        </w:rPr>
      </w:pPr>
    </w:p>
    <w:p>
      <w:pPr>
        <w:ind w:left="1800" w:right="160" w:hanging="496"/>
        <w:spacing w:after="0" w:line="318" w:lineRule="auto"/>
        <w:tabs>
          <w:tab w:leader="none" w:pos="17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89"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Nasdaq listing requirements. A copy of the charter of our audit committee is available on our website at https://denalitherapeutics.com/investors in the Corporate Governance section of our Investor &amp; Media Relations web page.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8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members of our compensation committee are detailed in the table above. All members of our compensation committee meet the requirements for independence under current Nasdaq listing standards and SEC rules and regulations. Each member of the compensation committee is also a non-employee director, as defined pursuant to Rule 16b-3 promulgated under the Exchange Act. The purpose of our compensation committee is to oversee our compensation policies and plans and benefit programs and to discharge the responsibilities of our board of directors relating to compensation of our executive officers. The responsibilities of our compensation committee include, among other things:</w:t>
      </w:r>
    </w:p>
    <w:p>
      <w:pPr>
        <w:spacing w:after="0" w:line="155" w:lineRule="exact"/>
        <w:rPr>
          <w:sz w:val="20"/>
          <w:szCs w:val="20"/>
          <w:color w:val="auto"/>
        </w:rPr>
      </w:pPr>
    </w:p>
    <w:p>
      <w:pPr>
        <w:ind w:left="1780" w:hanging="476"/>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our overall compensation philosophy and compensation policies and plans and benefit programs;</w:t>
      </w:r>
    </w:p>
    <w:p>
      <w:pPr>
        <w:spacing w:after="0" w:line="184" w:lineRule="exact"/>
        <w:rPr>
          <w:rFonts w:ascii="Arial" w:cs="Arial" w:eastAsia="Arial" w:hAnsi="Arial"/>
          <w:sz w:val="18"/>
          <w:szCs w:val="18"/>
          <w:color w:val="auto"/>
        </w:rPr>
      </w:pPr>
    </w:p>
    <w:p>
      <w:pPr>
        <w:ind w:left="1800" w:right="540" w:hanging="496"/>
        <w:spacing w:after="0" w:line="287" w:lineRule="auto"/>
        <w:tabs>
          <w:tab w:leader="none" w:pos="1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for approval compensation for our executive officers and directors;</w:t>
      </w:r>
    </w:p>
    <w:p>
      <w:pPr>
        <w:spacing w:after="0" w:line="112" w:lineRule="exact"/>
        <w:rPr>
          <w:rFonts w:ascii="Arial" w:cs="Arial" w:eastAsia="Arial" w:hAnsi="Arial"/>
          <w:sz w:val="18"/>
          <w:szCs w:val="18"/>
          <w:color w:val="auto"/>
        </w:rPr>
      </w:pPr>
    </w:p>
    <w:p>
      <w:pPr>
        <w:ind w:left="1800" w:right="180" w:hanging="496"/>
        <w:spacing w:after="0" w:line="287" w:lineRule="auto"/>
        <w:tabs>
          <w:tab w:leader="none" w:pos="1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will require to be included in our annual proxy statement; and</w:t>
      </w:r>
    </w:p>
    <w:p>
      <w:pPr>
        <w:spacing w:after="0" w:line="125" w:lineRule="exact"/>
        <w:rPr>
          <w:rFonts w:ascii="Arial" w:cs="Arial" w:eastAsia="Arial" w:hAnsi="Arial"/>
          <w:sz w:val="18"/>
          <w:szCs w:val="18"/>
          <w:color w:val="auto"/>
        </w:rPr>
      </w:pPr>
    </w:p>
    <w:p>
      <w:pPr>
        <w:ind w:left="1780" w:hanging="476"/>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85" w:lineRule="exact"/>
        <w:rPr>
          <w:sz w:val="20"/>
          <w:szCs w:val="20"/>
          <w:color w:val="auto"/>
        </w:rPr>
      </w:pPr>
    </w:p>
    <w:p>
      <w:pPr>
        <w:jc w:val="both"/>
        <w:ind w:right="140" w:firstLine="486"/>
        <w:spacing w:after="0" w:line="268" w:lineRule="auto"/>
        <w:rPr>
          <w:sz w:val="20"/>
          <w:szCs w:val="20"/>
          <w:color w:val="auto"/>
        </w:rPr>
      </w:pPr>
      <w:r>
        <w:rPr>
          <w:rFonts w:ascii="Arial" w:cs="Arial" w:eastAsia="Arial" w:hAnsi="Arial"/>
          <w:sz w:val="18"/>
          <w:szCs w:val="18"/>
          <w:color w:val="auto"/>
        </w:rPr>
        <w:t>Our compensation committee operates under a written charter that satisfies the Nasdaq listing standards. A copy of the charter of our compensation committee is available on our website at https://denalitherapeutics.com/investors in the Corporate Governance section of our Investor &amp; Media Relations web page.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Nominating Committee</w:t>
      </w:r>
    </w:p>
    <w:p>
      <w:pPr>
        <w:spacing w:after="0" w:line="185" w:lineRule="exact"/>
        <w:rPr>
          <w:sz w:val="20"/>
          <w:szCs w:val="20"/>
          <w:color w:val="auto"/>
        </w:rPr>
      </w:pPr>
    </w:p>
    <w:p>
      <w:pPr>
        <w:ind w:right="40" w:firstLine="486"/>
        <w:spacing w:after="0" w:line="278" w:lineRule="auto"/>
        <w:rPr>
          <w:sz w:val="20"/>
          <w:szCs w:val="20"/>
          <w:color w:val="auto"/>
        </w:rPr>
      </w:pPr>
      <w:r>
        <w:rPr>
          <w:rFonts w:ascii="Arial" w:cs="Arial" w:eastAsia="Arial" w:hAnsi="Arial"/>
          <w:sz w:val="17"/>
          <w:szCs w:val="17"/>
          <w:color w:val="auto"/>
        </w:rPr>
        <w:t>The members of our corporate governance and nominating committee are detailed in the table above. All members of our corporate governance and nominating committee meet the requirements for independence under the Nasdaq listing standards and SEC rules and regulations. Mr. Baker will join our corporate governance and nominating committee after his election to our board of directors effective as of the Annual Meeting. Mr. Baker meets the requirements for independence under the Nasdaq listing standards and SEC rules and regulations. Dr. Tessier-Lavigne will cease serving as a member of our corporate governance and nominating committee as of the Annual Meeting.</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responsibilities of our corporate governance and nominating committee include, among other things:</w:t>
      </w:r>
    </w:p>
    <w:p>
      <w:pPr>
        <w:spacing w:after="0" w:line="198" w:lineRule="exact"/>
        <w:rPr>
          <w:sz w:val="20"/>
          <w:szCs w:val="20"/>
          <w:color w:val="auto"/>
        </w:rPr>
      </w:pPr>
    </w:p>
    <w:p>
      <w:pPr>
        <w:ind w:left="1800" w:right="200" w:hanging="496"/>
        <w:spacing w:after="0" w:line="287" w:lineRule="auto"/>
        <w:tabs>
          <w:tab w:leader="none" w:pos="1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our board of directors regarding nominees for election to our board of directors and its committees;</w:t>
      </w:r>
    </w:p>
    <w:p>
      <w:pPr>
        <w:spacing w:after="0" w:line="112" w:lineRule="exact"/>
        <w:rPr>
          <w:rFonts w:ascii="Arial" w:cs="Arial" w:eastAsia="Arial" w:hAnsi="Arial"/>
          <w:sz w:val="18"/>
          <w:szCs w:val="18"/>
          <w:color w:val="auto"/>
        </w:rPr>
      </w:pPr>
    </w:p>
    <w:p>
      <w:pPr>
        <w:ind w:left="1800" w:right="20" w:hanging="496"/>
        <w:spacing w:after="0" w:line="287" w:lineRule="auto"/>
        <w:tabs>
          <w:tab w:leader="none" w:pos="1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12" w:lineRule="exact"/>
        <w:rPr>
          <w:rFonts w:ascii="Arial" w:cs="Arial" w:eastAsia="Arial" w:hAnsi="Arial"/>
          <w:sz w:val="18"/>
          <w:szCs w:val="18"/>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98" w:lineRule="exact"/>
        <w:rPr>
          <w:rFonts w:ascii="Arial" w:cs="Arial" w:eastAsia="Arial" w:hAnsi="Arial"/>
          <w:sz w:val="18"/>
          <w:szCs w:val="18"/>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184" w:lineRule="exact"/>
        <w:rPr>
          <w:rFonts w:ascii="Arial" w:cs="Arial" w:eastAsia="Arial" w:hAnsi="Arial"/>
          <w:sz w:val="18"/>
          <w:szCs w:val="18"/>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85" w:lineRule="exact"/>
        <w:rPr>
          <w:sz w:val="20"/>
          <w:szCs w:val="20"/>
          <w:color w:val="auto"/>
        </w:rPr>
      </w:pPr>
    </w:p>
    <w:p>
      <w:pPr>
        <w:ind w:right="280" w:firstLine="486"/>
        <w:spacing w:after="0" w:line="268" w:lineRule="auto"/>
        <w:rPr>
          <w:sz w:val="20"/>
          <w:szCs w:val="20"/>
          <w:color w:val="auto"/>
        </w:rPr>
      </w:pPr>
      <w:r>
        <w:rPr>
          <w:rFonts w:ascii="Arial" w:cs="Arial" w:eastAsia="Arial" w:hAnsi="Arial"/>
          <w:sz w:val="18"/>
          <w:szCs w:val="18"/>
          <w:color w:val="auto"/>
        </w:rPr>
        <w:t>Our corporate governance and nominating committee operates under a written charter that satisfies the Nasdaq listing standards. A copy of the charter of our corporate governance and nominating committee is available on our website at https://denalitherapeutics.com/investors in the Corporate Governance section of our Investor &amp; Media Relations web page.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During fiscal year 2024, Mr. Flatley, Mr. Klein, and Ms. Thornberry served on our compensation committee. None of the members of our compensation committee is or has at any time been an officer or was during 2024 an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98" w:lineRule="exact"/>
        <w:rPr>
          <w:sz w:val="20"/>
          <w:szCs w:val="20"/>
          <w:color w:val="auto"/>
        </w:rPr>
      </w:pPr>
    </w:p>
    <w:p>
      <w:pPr>
        <w:ind w:right="320" w:firstLine="486"/>
        <w:spacing w:after="0" w:line="268" w:lineRule="auto"/>
        <w:rPr>
          <w:sz w:val="20"/>
          <w:szCs w:val="20"/>
          <w:color w:val="auto"/>
        </w:rPr>
      </w:pPr>
      <w:r>
        <w:rPr>
          <w:rFonts w:ascii="Arial" w:cs="Arial" w:eastAsia="Arial" w:hAnsi="Arial"/>
          <w:sz w:val="18"/>
          <w:szCs w:val="18"/>
          <w:color w:val="auto"/>
        </w:rPr>
        <w:t>It is the policy of the corporate governance and nominating committee of our board of directors to consider recommendations for candidates to our board of directors from stockholders holding no less than one percent (1%) of the outstanding shares of the Company’s common stock continuously for at least 12 months prior to the date of the submission of the recommendation or nomination.</w:t>
      </w:r>
    </w:p>
    <w:p>
      <w:pPr>
        <w:spacing w:after="0" w:line="130" w:lineRule="exact"/>
        <w:rPr>
          <w:sz w:val="20"/>
          <w:szCs w:val="20"/>
          <w:color w:val="auto"/>
        </w:rPr>
      </w:pPr>
    </w:p>
    <w:p>
      <w:pPr>
        <w:ind w:right="780" w:firstLine="486"/>
        <w:spacing w:after="0" w:line="287" w:lineRule="auto"/>
        <w:rPr>
          <w:sz w:val="20"/>
          <w:szCs w:val="20"/>
          <w:color w:val="auto"/>
        </w:rPr>
      </w:pPr>
      <w:r>
        <w:rPr>
          <w:rFonts w:ascii="Arial" w:cs="Arial" w:eastAsia="Arial" w:hAnsi="Arial"/>
          <w:sz w:val="18"/>
          <w:szCs w:val="18"/>
          <w:color w:val="auto"/>
        </w:rPr>
        <w:t>The corporate governance and nominating committee will use the following procedures to identify and evaluate any individual recommended or offered for nomination to our board of directors:</w:t>
      </w:r>
    </w:p>
    <w:p>
      <w:pPr>
        <w:spacing w:after="0" w:line="112" w:lineRule="exact"/>
        <w:rPr>
          <w:sz w:val="20"/>
          <w:szCs w:val="20"/>
          <w:color w:val="auto"/>
        </w:rPr>
      </w:pPr>
    </w:p>
    <w:p>
      <w:pPr>
        <w:ind w:left="1800" w:right="220" w:hanging="496"/>
        <w:spacing w:after="0" w:line="268" w:lineRule="auto"/>
        <w:tabs>
          <w:tab w:leader="none" w:pos="17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corporate governance and nominating committee will consider candidates recommended by stockholders in the same manner as candidates recommended to the corporate governance and nominating committee from other sources.</w:t>
      </w:r>
    </w:p>
    <w:p>
      <w:pPr>
        <w:spacing w:after="0" w:line="143" w:lineRule="exact"/>
        <w:rPr>
          <w:rFonts w:ascii="Arial" w:cs="Arial" w:eastAsia="Arial" w:hAnsi="Arial"/>
          <w:sz w:val="18"/>
          <w:szCs w:val="18"/>
          <w:color w:val="auto"/>
        </w:rPr>
      </w:pPr>
    </w:p>
    <w:p>
      <w:pPr>
        <w:ind w:left="1800" w:right="440" w:hanging="496"/>
        <w:spacing w:after="0" w:line="287" w:lineRule="auto"/>
        <w:tabs>
          <w:tab w:leader="none" w:pos="17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its evaluation of director candidates, including the members of our board of directors eligible for re-election, the corporate governance and nominating committee will consider the following:</w:t>
      </w:r>
    </w:p>
    <w:p>
      <w:pPr>
        <w:spacing w:after="0" w:line="112" w:lineRule="exact"/>
        <w:rPr>
          <w:rFonts w:ascii="Arial" w:cs="Arial" w:eastAsia="Arial" w:hAnsi="Arial"/>
          <w:sz w:val="18"/>
          <w:szCs w:val="18"/>
          <w:color w:val="auto"/>
        </w:rPr>
      </w:pPr>
    </w:p>
    <w:p>
      <w:pPr>
        <w:ind w:left="2760" w:right="60" w:hanging="484"/>
        <w:spacing w:after="0" w:line="287" w:lineRule="auto"/>
        <w:tabs>
          <w:tab w:leader="none" w:pos="27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current size and composition of our board of directors and the needs of our board of directors and the respective committees of our board of directors.</w:t>
      </w:r>
    </w:p>
    <w:p>
      <w:pPr>
        <w:spacing w:after="0" w:line="112" w:lineRule="exact"/>
        <w:rPr>
          <w:rFonts w:ascii="Arial" w:cs="Arial" w:eastAsia="Arial" w:hAnsi="Arial"/>
          <w:sz w:val="18"/>
          <w:szCs w:val="18"/>
          <w:color w:val="auto"/>
        </w:rPr>
      </w:pPr>
    </w:p>
    <w:p>
      <w:pPr>
        <w:ind w:left="2760" w:right="20" w:hanging="484"/>
        <w:spacing w:after="0" w:line="262" w:lineRule="auto"/>
        <w:tabs>
          <w:tab w:leader="none" w:pos="27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Such factors as character, integrity, judgment, diversity of experience, independence, area of expertise, corporate experience, length of service, potential conflicts of interest, other commitments and the like. The corporate governance and nominating committee evaluates these factors, among others, and does not assign any particular weighting or priority to any of these factors.</w:t>
      </w:r>
    </w:p>
    <w:p>
      <w:pPr>
        <w:spacing w:after="0" w:line="149" w:lineRule="exact"/>
        <w:rPr>
          <w:rFonts w:ascii="Arial" w:cs="Arial" w:eastAsia="Arial" w:hAnsi="Arial"/>
          <w:sz w:val="18"/>
          <w:szCs w:val="18"/>
          <w:color w:val="auto"/>
        </w:rPr>
      </w:pPr>
    </w:p>
    <w:p>
      <w:pPr>
        <w:ind w:left="2760" w:hanging="484"/>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factors that the corporate governance and nominating committee deems appropriate.</w:t>
      </w:r>
    </w:p>
    <w:p>
      <w:pPr>
        <w:spacing w:after="0" w:line="184" w:lineRule="exact"/>
        <w:rPr>
          <w:rFonts w:ascii="Arial" w:cs="Arial" w:eastAsia="Arial" w:hAnsi="Arial"/>
          <w:sz w:val="18"/>
          <w:szCs w:val="18"/>
          <w:color w:val="auto"/>
        </w:rPr>
      </w:pPr>
    </w:p>
    <w:p>
      <w:pPr>
        <w:ind w:left="1800" w:right="140" w:hanging="496"/>
        <w:spacing w:after="0" w:line="287" w:lineRule="auto"/>
        <w:tabs>
          <w:tab w:leader="none" w:pos="17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corporate governance and nominating committee requires the following minimum qualifications to be satisfied by any nominee for a position on our board of directors:</w:t>
      </w:r>
    </w:p>
    <w:p>
      <w:pPr>
        <w:spacing w:after="0" w:line="112" w:lineRule="exact"/>
        <w:rPr>
          <w:rFonts w:ascii="Arial" w:cs="Arial" w:eastAsia="Arial" w:hAnsi="Arial"/>
          <w:sz w:val="18"/>
          <w:szCs w:val="18"/>
          <w:color w:val="auto"/>
        </w:rPr>
      </w:pPr>
    </w:p>
    <w:p>
      <w:pPr>
        <w:ind w:left="2760" w:hanging="484"/>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198" w:lineRule="exact"/>
        <w:rPr>
          <w:rFonts w:ascii="Arial" w:cs="Arial" w:eastAsia="Arial" w:hAnsi="Arial"/>
          <w:sz w:val="18"/>
          <w:szCs w:val="18"/>
          <w:color w:val="auto"/>
        </w:rPr>
      </w:pPr>
    </w:p>
    <w:p>
      <w:pPr>
        <w:ind w:left="2760" w:right="320" w:hanging="484"/>
        <w:spacing w:after="0" w:line="287" w:lineRule="auto"/>
        <w:tabs>
          <w:tab w:leader="none" w:pos="27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112" w:lineRule="exact"/>
        <w:rPr>
          <w:rFonts w:ascii="Arial" w:cs="Arial" w:eastAsia="Arial" w:hAnsi="Arial"/>
          <w:sz w:val="18"/>
          <w:szCs w:val="18"/>
          <w:color w:val="auto"/>
        </w:rPr>
      </w:pPr>
    </w:p>
    <w:p>
      <w:pPr>
        <w:ind w:left="2760" w:hanging="484"/>
        <w:spacing w:after="0"/>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 of directors.</w:t>
      </w:r>
    </w:p>
    <w:p>
      <w:pPr>
        <w:spacing w:after="0" w:line="184" w:lineRule="exact"/>
        <w:rPr>
          <w:rFonts w:ascii="Arial" w:cs="Arial" w:eastAsia="Arial" w:hAnsi="Arial"/>
          <w:sz w:val="18"/>
          <w:szCs w:val="18"/>
          <w:color w:val="auto"/>
        </w:rPr>
      </w:pPr>
    </w:p>
    <w:p>
      <w:pPr>
        <w:ind w:left="2760" w:right="620" w:hanging="484"/>
        <w:spacing w:after="0" w:line="287" w:lineRule="auto"/>
        <w:tabs>
          <w:tab w:leader="none" w:pos="27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the Company’s success.</w:t>
      </w:r>
    </w:p>
    <w:p>
      <w:pPr>
        <w:spacing w:after="0" w:line="125" w:lineRule="exact"/>
        <w:rPr>
          <w:rFonts w:ascii="Arial" w:cs="Arial" w:eastAsia="Arial" w:hAnsi="Arial"/>
          <w:sz w:val="18"/>
          <w:szCs w:val="18"/>
          <w:color w:val="auto"/>
        </w:rPr>
      </w:pPr>
    </w:p>
    <w:p>
      <w:pPr>
        <w:ind w:left="2760" w:hanging="484"/>
        <w:spacing w:after="0" w:line="281" w:lineRule="auto"/>
        <w:tabs>
          <w:tab w:leader="none" w:pos="27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that is required of a member of our board of directors and the commitment of time and energy necessary to diligently carry out those responsibilities.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60" w:right="40" w:hanging="484"/>
        <w:spacing w:after="0" w:line="257" w:lineRule="auto"/>
        <w:tabs>
          <w:tab w:leader="none" w:pos="27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corporate governance and nominating committee determines that an additional or replacement director is required, the corporate governance and nominating committee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corporate governance and nominating committee, our board of directors or management.</w:t>
      </w:r>
    </w:p>
    <w:p>
      <w:pPr>
        <w:spacing w:after="0" w:line="155" w:lineRule="exact"/>
        <w:rPr>
          <w:sz w:val="20"/>
          <w:szCs w:val="20"/>
          <w:color w:val="auto"/>
        </w:rPr>
      </w:pPr>
    </w:p>
    <w:p>
      <w:pPr>
        <w:ind w:right="160" w:firstLine="486"/>
        <w:spacing w:after="0" w:line="268" w:lineRule="auto"/>
        <w:rPr>
          <w:sz w:val="20"/>
          <w:szCs w:val="20"/>
          <w:color w:val="auto"/>
        </w:rPr>
      </w:pPr>
      <w:r>
        <w:rPr>
          <w:rFonts w:ascii="Arial" w:cs="Arial" w:eastAsia="Arial" w:hAnsi="Arial"/>
          <w:sz w:val="18"/>
          <w:szCs w:val="18"/>
          <w:color w:val="auto"/>
        </w:rPr>
        <w:t>The corporate governance and nominating committee may propose to our board of directors a candidate recommended or offered for nomination by a stockholder as a nominee for election to our board of directors. In the future, the corporate governance and nominating committee may pay fees to third parties to assist in identifying or evaluating director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8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 stockholder that wants to recommend a candidate for election to our board of directors should direct the recommendation in writing by letter to the Company, attention of the Secretary, at Denali Therapeutics Inc., 161 Oyster Point Blvd., South San Francisco, California 94080.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w:t>
      </w:r>
    </w:p>
    <w:p>
      <w:pPr>
        <w:spacing w:after="0" w:line="14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A stockholder that instead desires to nominate a person directly for election to our board of directors at an annual meeting of the stockholders must meet the deadlines and other requirements set forth in Section 2.4 of the Company’s bylaws and the rules and regulations of the SEC. Section 2.4 of the Company’s bylaws requires that a stockholder who seeks to nominate a candidate for director must provide a written notice to the Secretary of the Company not later than 5:00 p.m., Pacific time, on the 45th day nor earlier than 8:00 a.m., Pacific time, on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no annual meeting was held in the previous year or if the date of the annual meeting is advanced by more than 25 days prior to or delayed by more than 25 days after the one-year anniversary of the date of the previous year’s annual meeting, then, for notice by the stockholder to be timely, it must be so received by the Secretary of the Company not earlier than 8:00 a.m., Pacific time, on the 120th day prior to such annual meeting and not later than 5:00 p.m., Pacific time, on the later of (i) the 90th day prior to such annual meeting, or (ii) the 10th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“Public Announcement” shall mean disclosure in a press release reported by the Dow Jones News Service, Associated Press, or a comparable national news service or in a document publicly filed by the corporation with the SEC pursuant to Section 13, 14, or 15(d) of the Exchange Act, or any successor thereto.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98" w:lineRule="exact"/>
        <w:rPr>
          <w:sz w:val="20"/>
          <w:szCs w:val="20"/>
          <w:color w:val="auto"/>
        </w:rPr>
      </w:pPr>
    </w:p>
    <w:p>
      <w:pPr>
        <w:ind w:right="100" w:firstLine="486"/>
        <w:spacing w:after="0" w:line="268" w:lineRule="auto"/>
        <w:rPr>
          <w:sz w:val="20"/>
          <w:szCs w:val="20"/>
          <w:color w:val="auto"/>
        </w:rPr>
      </w:pPr>
      <w:r>
        <w:rPr>
          <w:rFonts w:ascii="Arial" w:cs="Arial" w:eastAsia="Arial" w:hAnsi="Arial"/>
          <w:sz w:val="18"/>
          <w:szCs w:val="18"/>
          <w:color w:val="auto"/>
        </w:rPr>
        <w:t>Our board of directors believes that management speaks for Denali Therapeutics Inc. Individual board members may, from time to time, communicate with various constituencies that are involved with the Company, but it is expected that board members would do this with knowledge of management and, in most instances, only at the request of management.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cases where stockholders and other interested parties wish to communicate directly with our non-management directors, messages can be sent to our Secretary at Denali Therapeutics Inc., 161 Oyster Point Blvd., South San Francisco, California 94080. Our Secretary monitors these communications and will provide a summary of all received messages to the board of directors at each regularly scheduled meeting of the board of directors. Our board of directors generally meets on a quarterly basis. Where the nature of a communication warrants, our Secretary may determine, in his or her judgment, to obtain the more immediate attention of the appropriate committee of the board or non-management director, of independent advisors, or of Company management, as our Secretary considers appropriate.</w:t>
      </w:r>
    </w:p>
    <w:p>
      <w:pPr>
        <w:spacing w:after="0" w:line="155" w:lineRule="exact"/>
        <w:rPr>
          <w:sz w:val="20"/>
          <w:szCs w:val="20"/>
          <w:color w:val="auto"/>
        </w:rPr>
      </w:pPr>
    </w:p>
    <w:p>
      <w:pPr>
        <w:ind w:right="1000" w:firstLine="486"/>
        <w:spacing w:after="0" w:line="287" w:lineRule="auto"/>
        <w:rPr>
          <w:sz w:val="20"/>
          <w:szCs w:val="20"/>
          <w:color w:val="auto"/>
        </w:rPr>
      </w:pPr>
      <w:r>
        <w:rPr>
          <w:rFonts w:ascii="Arial" w:cs="Arial" w:eastAsia="Arial" w:hAnsi="Arial"/>
          <w:sz w:val="18"/>
          <w:szCs w:val="18"/>
          <w:color w:val="auto"/>
        </w:rPr>
        <w:t>Our Secretary may decide in the exercise of his or her judgment whether a response to any stockholder or interested party communication is necessary.</w:t>
      </w:r>
    </w:p>
    <w:p>
      <w:pPr>
        <w:spacing w:after="0" w:line="112" w:lineRule="exact"/>
        <w:rPr>
          <w:sz w:val="20"/>
          <w:szCs w:val="20"/>
          <w:color w:val="auto"/>
        </w:rPr>
      </w:pPr>
    </w:p>
    <w:p>
      <w:pPr>
        <w:ind w:right="80" w:firstLine="486"/>
        <w:spacing w:after="0" w:line="282" w:lineRule="auto"/>
        <w:rPr>
          <w:sz w:val="20"/>
          <w:szCs w:val="20"/>
          <w:color w:val="auto"/>
        </w:rPr>
      </w:pPr>
      <w:r>
        <w:rPr>
          <w:rFonts w:ascii="Arial" w:cs="Arial" w:eastAsia="Arial" w:hAnsi="Arial"/>
          <w:sz w:val="17"/>
          <w:szCs w:val="17"/>
          <w:color w:val="auto"/>
        </w:rPr>
        <w:t>This procedure for stockholder and other interested party communications with the non-management directors is administered by the Company’s corporate governance and nominating committee. This procedure does not apply to (a) communications to non-management directors from officers or directors of the Company who are stockholders, (b) stockholder proposals submitted pursuant to Rule 14a-8 under the Exchange Act, or (c) communications to our audit committee pursuant to the Complaint Procedures for Accounting and Auditing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18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board of directors has adopted Corporate Governance Guidelines. These guidelines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Operating and Financial Officer, and other executive and senior financial officers. The full text of our Corporate Governance Guidelines and our Code of Business Conduct and Ethics is posted on our website at https://denalitherapeutics.com/investors in the Corporate Governance section of our Investor &amp; Media Relations web page. We intend to post any amendments to our Code of Business Conduct and Ethics, and any waivers of our Code of Business Conduct and Ethics for directors and executive officers, on the same website.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8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non-employee directors are subject to stock ownership guidelines to promote the ongoing alignment of the interests of our directors with the long-term interests of our stockholders. Our guidelines require that each non-employee director own a number of shares of our common stock or other qualifying Company equity with a value equal to at least three times such director’s annual cash retainer for service on our board, and maintain that minimum ownership throughout his or her tenure on our board. Each non-employee director is required to comply with our stock ownership guidelines by the later of April 16, 2026, which is the fifth anniversary of the effective date of the adoption of the guidelines, or the fifth anniversary of such director’s initial appointment or election to our board of directors. If the annual retainer for Board service is increased, each non-employee director will have until the later of the deadline in the prior sentence or two years from the date of such increase to satisfy the portion of the requirement attributable to the retainer increase. Until a non-employee director has satisfied the applicable level of ownership, and during any period in which the director ceases to satisfy the applicable level of ownership, such director may generally not sell or transfer more than fifty percent (50%) of the net shares received from any equity award granted to the non-employee director or derived from such director’s other direct holdings. At the discretion of our compensation committee, the stock ownership requirements may be waived for non-employee directors joining our board of directors from government, academia, or similar professions and may be temporarily suspended if the requirements would create severe hardship or prevent the non-employee director from complying with a court order.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85" w:lineRule="exact"/>
        <w:rPr>
          <w:sz w:val="20"/>
          <w:szCs w:val="20"/>
          <w:color w:val="auto"/>
        </w:rPr>
      </w:pPr>
    </w:p>
    <w:p>
      <w:pPr>
        <w:jc w:val="both"/>
        <w:ind w:right="220" w:firstLine="486"/>
        <w:spacing w:after="0" w:line="268"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summary of the key areas of risk oversight responsibility of our board of directors and each of its committees is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shd w:val="clear" w:color="auto" w:fill="00497F"/>
          </w:tcPr>
          <w:p>
            <w:pPr>
              <w:ind w:left="20"/>
              <w:spacing w:after="0"/>
              <w:rPr>
                <w:sz w:val="20"/>
                <w:szCs w:val="20"/>
                <w:color w:val="auto"/>
              </w:rPr>
            </w:pPr>
            <w:r>
              <w:rPr>
                <w:rFonts w:ascii="Arial" w:cs="Arial" w:eastAsia="Arial" w:hAnsi="Arial"/>
                <w:sz w:val="14"/>
                <w:szCs w:val="14"/>
                <w:b w:val="1"/>
                <w:bCs w:val="1"/>
                <w:color w:val="FFFFFF"/>
              </w:rPr>
              <w:t>Board or Committee</w:t>
            </w:r>
          </w:p>
        </w:tc>
        <w:tc>
          <w:tcPr>
            <w:tcW w:w="580" w:type="dxa"/>
            <w:vAlign w:val="bottom"/>
            <w:shd w:val="clear" w:color="auto" w:fill="00497F"/>
          </w:tcPr>
          <w:p>
            <w:pPr>
              <w:spacing w:after="0"/>
              <w:rPr>
                <w:sz w:val="17"/>
                <w:szCs w:val="17"/>
                <w:color w:val="auto"/>
              </w:rPr>
            </w:pPr>
          </w:p>
        </w:tc>
        <w:tc>
          <w:tcPr>
            <w:tcW w:w="8480" w:type="dxa"/>
            <w:vAlign w:val="bottom"/>
            <w:shd w:val="clear" w:color="auto" w:fill="00497F"/>
          </w:tcPr>
          <w:p>
            <w:pPr>
              <w:ind w:left="3200"/>
              <w:spacing w:after="0"/>
              <w:rPr>
                <w:sz w:val="20"/>
                <w:szCs w:val="20"/>
                <w:color w:val="auto"/>
              </w:rPr>
            </w:pPr>
            <w:r>
              <w:rPr>
                <w:rFonts w:ascii="Arial" w:cs="Arial" w:eastAsia="Arial" w:hAnsi="Arial"/>
                <w:sz w:val="14"/>
                <w:szCs w:val="14"/>
                <w:b w:val="1"/>
                <w:bCs w:val="1"/>
                <w:color w:val="FFFFFF"/>
              </w:rPr>
              <w:t>Area of Risk Oversight</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line="153" w:lineRule="exact"/>
              <w:rPr>
                <w:sz w:val="20"/>
                <w:szCs w:val="20"/>
                <w:color w:val="auto"/>
              </w:rPr>
            </w:pPr>
            <w:r>
              <w:rPr>
                <w:rFonts w:ascii="Arial" w:cs="Arial" w:eastAsia="Arial" w:hAnsi="Arial"/>
                <w:sz w:val="14"/>
                <w:szCs w:val="14"/>
                <w:color w:val="auto"/>
              </w:rPr>
              <w:t>Board</w:t>
            </w:r>
          </w:p>
        </w:tc>
        <w:tc>
          <w:tcPr>
            <w:tcW w:w="58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8480" w:type="dxa"/>
            <w:vAlign w:val="bottom"/>
          </w:tcPr>
          <w:p>
            <w:pPr>
              <w:ind w:left="120"/>
              <w:spacing w:after="0" w:line="153" w:lineRule="exact"/>
              <w:rPr>
                <w:sz w:val="20"/>
                <w:szCs w:val="20"/>
                <w:color w:val="auto"/>
              </w:rPr>
            </w:pPr>
            <w:r>
              <w:rPr>
                <w:rFonts w:ascii="Arial" w:cs="Arial" w:eastAsia="Arial" w:hAnsi="Arial"/>
                <w:sz w:val="14"/>
                <w:szCs w:val="14"/>
                <w:color w:val="auto"/>
              </w:rPr>
              <w:t>Monitoring and assessing strategic risks</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8480" w:type="dxa"/>
            <w:vAlign w:val="bottom"/>
          </w:tcPr>
          <w:p>
            <w:pPr>
              <w:ind w:left="120"/>
              <w:spacing w:after="0" w:line="145" w:lineRule="exact"/>
              <w:rPr>
                <w:sz w:val="20"/>
                <w:szCs w:val="20"/>
                <w:color w:val="auto"/>
              </w:rPr>
            </w:pPr>
            <w:r>
              <w:rPr>
                <w:rFonts w:ascii="Arial" w:cs="Arial" w:eastAsia="Arial" w:hAnsi="Arial"/>
                <w:sz w:val="14"/>
                <w:szCs w:val="14"/>
                <w:color w:val="auto"/>
              </w:rPr>
              <w:t>Research and development activities, clinical development, drug safety and intellectual property</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80" w:type="dxa"/>
            <w:vAlign w:val="bottom"/>
          </w:tcPr>
          <w:p>
            <w:pPr>
              <w:ind w:left="120"/>
              <w:spacing w:after="0"/>
              <w:rPr>
                <w:sz w:val="20"/>
                <w:szCs w:val="20"/>
                <w:color w:val="auto"/>
              </w:rPr>
            </w:pPr>
            <w:r>
              <w:rPr>
                <w:rFonts w:ascii="Arial" w:cs="Arial" w:eastAsia="Arial" w:hAnsi="Arial"/>
                <w:sz w:val="14"/>
                <w:szCs w:val="14"/>
                <w:color w:val="auto"/>
              </w:rPr>
              <w:t>Risk management policies, guidelines and practices implemented by Company management</w:t>
            </w: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Audit Committee</w:t>
            </w:r>
          </w:p>
        </w:tc>
        <w:tc>
          <w:tcPr>
            <w:tcW w:w="580" w:type="dxa"/>
            <w:vAlign w:val="bottom"/>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84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 Financial, accounting, disclosure and corporate compliance, including the steps management has taken to monitor and control</w:t>
            </w: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8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these exposures, and oversight of internal and external audit</w:t>
            </w: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48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Information security and cybersecurity risks</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Guidelines and policies with respect to risk assessment and risk management</w:t>
            </w: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848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Compliance with legal and regulatory requirements</w:t>
            </w: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Related party transactions</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line="153" w:lineRule="exact"/>
              <w:rPr>
                <w:sz w:val="20"/>
                <w:szCs w:val="20"/>
                <w:color w:val="auto"/>
              </w:rPr>
            </w:pPr>
            <w:r>
              <w:rPr>
                <w:rFonts w:ascii="Arial" w:cs="Arial" w:eastAsia="Arial" w:hAnsi="Arial"/>
                <w:sz w:val="14"/>
                <w:szCs w:val="14"/>
                <w:color w:val="auto"/>
              </w:rPr>
              <w:t>Compensation Committee</w:t>
            </w:r>
          </w:p>
        </w:tc>
        <w:tc>
          <w:tcPr>
            <w:tcW w:w="58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8480" w:type="dxa"/>
            <w:vAlign w:val="bottom"/>
          </w:tcPr>
          <w:p>
            <w:pPr>
              <w:ind w:left="120"/>
              <w:spacing w:after="0" w:line="153" w:lineRule="exact"/>
              <w:rPr>
                <w:sz w:val="20"/>
                <w:szCs w:val="20"/>
                <w:color w:val="auto"/>
              </w:rPr>
            </w:pPr>
            <w:r>
              <w:rPr>
                <w:rFonts w:ascii="Arial" w:cs="Arial" w:eastAsia="Arial" w:hAnsi="Arial"/>
                <w:sz w:val="14"/>
                <w:szCs w:val="14"/>
                <w:color w:val="auto"/>
              </w:rPr>
              <w:t>Compensation policies and practices, including whether such policies and practices balance risk-taking and rewards in an</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80" w:type="dxa"/>
            <w:vAlign w:val="bottom"/>
          </w:tcPr>
          <w:p>
            <w:pPr>
              <w:ind w:left="140"/>
              <w:spacing w:after="0"/>
              <w:rPr>
                <w:sz w:val="20"/>
                <w:szCs w:val="20"/>
                <w:color w:val="auto"/>
              </w:rPr>
            </w:pPr>
            <w:r>
              <w:rPr>
                <w:rFonts w:ascii="Arial" w:cs="Arial" w:eastAsia="Arial" w:hAnsi="Arial"/>
                <w:sz w:val="14"/>
                <w:szCs w:val="14"/>
                <w:color w:val="auto"/>
              </w:rPr>
              <w:t>appropriate manner as discussed further below</w:t>
            </w: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Corporate Governance and</w:t>
            </w:r>
          </w:p>
        </w:tc>
        <w:tc>
          <w:tcPr>
            <w:tcW w:w="580" w:type="dxa"/>
            <w:vAlign w:val="bottom"/>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84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Effectiveness of corporate governance guidelines, including board succession, director independence and potential conflicts of</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Nominating Committee</w:t>
            </w:r>
          </w:p>
        </w:tc>
        <w:tc>
          <w:tcPr>
            <w:tcW w:w="580" w:type="dxa"/>
            <w:vAlign w:val="bottom"/>
            <w:shd w:val="clear" w:color="auto" w:fill="CCEEFF"/>
          </w:tcPr>
          <w:p>
            <w:pPr>
              <w:spacing w:after="0"/>
              <w:rPr>
                <w:sz w:val="16"/>
                <w:szCs w:val="16"/>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8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Compensation Discussion and Analysis (CD&amp;A) section of this Proxy Statement describes our compensation policies, programs, and practices for our named executive officers. Our goal-setting, performance assessment, and compensation decision-making processes described in the CD&amp;A generally apply to all employees. In the CD&amp;A, we describe compensation committee and independent compensation consultant involvement, which act as risk-mitigation controls for our executive compensation programs. Our compensation committee also considers risks arising from the Company's compensation plans and arrangements more generally, including whether these plans and programs have or are likely to encourage excessive risk taking. After consideration, our compensation committee determined that risks arising from the Company’s compensation plans and arrangements are not likely to give rise to a material adverse effect on the Company’s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w:t>
      </w:r>
    </w:p>
    <w:p>
      <w:pPr>
        <w:spacing w:after="0" w:line="19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Denali Therapeutics supports the work of organizations that have complementary missions and are aligned with our therapeutic areas of interest. This includes advocacy organizations making a difference across the following disease areas: amyotrophic lateral sclerosis ("ALS"), Alzheimer's disease ("AD"), frontotemporal dementia-granulin ("FTD-GRN"), lysosomal storage diseases such as mucopolysaccharidosis II ("MPS"), Parkinson's disease ("PD"), and other neurodegenerative disorders.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w:t>
      </w:r>
    </w:p>
    <w:p>
      <w:pPr>
        <w:spacing w:after="0" w:line="250" w:lineRule="exact"/>
        <w:rPr>
          <w:sz w:val="20"/>
          <w:szCs w:val="20"/>
          <w:color w:val="auto"/>
        </w:rPr>
      </w:pPr>
    </w:p>
    <w:p>
      <w:pPr>
        <w:ind w:right="80" w:firstLine="486"/>
        <w:spacing w:after="0" w:line="268" w:lineRule="auto"/>
        <w:rPr>
          <w:sz w:val="20"/>
          <w:szCs w:val="20"/>
          <w:color w:val="auto"/>
        </w:rPr>
      </w:pPr>
      <w:r>
        <w:rPr>
          <w:rFonts w:ascii="Arial" w:cs="Arial" w:eastAsia="Arial" w:hAnsi="Arial"/>
          <w:sz w:val="18"/>
          <w:szCs w:val="18"/>
          <w:color w:val="auto"/>
        </w:rPr>
        <w:t>At Denali we strive to create a work environment that supports employees in achieving both their personal and professional goals. Our working environment is guided by the core Denali values of trust, growth, grit, and unity, and reinforced by developing quality leadership, fostering inclusion, and emphasizing continuous growth.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140" w:right="160" w:hanging="484"/>
        <w:spacing w:after="0" w:line="257"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Our values-driven culture is complemented by an attractive total compensation package that is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motivate employees to perform to the best of their abilities; we believe this will, in turn, contribute to the value and success of our Company. Denali’s incentive plans serve to attract and retain employees through the granting of stock-based and cash-based compensation awards. Employees are eligible for annual bonuses that are tied to meeting individual and Company goals. We also offer a generous and flexible benefits package that helps our employees take care of themselves and their families, which in turn enables them to devote their energies to defeating degeneration.</w:t>
      </w:r>
    </w:p>
    <w:p>
      <w:pPr>
        <w:spacing w:after="0" w:line="209" w:lineRule="exact"/>
        <w:rPr>
          <w:rFonts w:ascii="Arial" w:cs="Arial" w:eastAsia="Arial" w:hAnsi="Arial"/>
          <w:sz w:val="18"/>
          <w:szCs w:val="18"/>
          <w:color w:val="auto"/>
        </w:rPr>
      </w:pPr>
    </w:p>
    <w:p>
      <w:pPr>
        <w:ind w:left="1140" w:hanging="484"/>
        <w:spacing w:after="0" w:line="255"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Health and Safety. </w:t>
      </w:r>
      <w:r>
        <w:rPr>
          <w:rFonts w:ascii="Arial" w:cs="Arial" w:eastAsia="Arial" w:hAnsi="Arial"/>
          <w:sz w:val="18"/>
          <w:szCs w:val="18"/>
          <w:color w:val="auto"/>
        </w:rPr>
        <w:t>Our health and safety programs are designed around global standards with specifications addressing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specific hazards, and the unique working environment of our operations. We mandate employee health and safety training and ergonomic assessments, and require specialized training for all lab-based employees. We conduct regular internal safety audits to ensure that proper safety policies and program procedures are in place. We conduct regular internal safety audits to ensure that proper safety policies and program procedures are in place. In addition, we engage both internal and third-party compliance assessments and audit selected operations for adherence to health and safety standards. Denali’s safety programs have been highly effective: since we commenced operations in 2015, we have had zero reportable regulatory safety incidents.</w:t>
      </w:r>
    </w:p>
    <w:p>
      <w:pPr>
        <w:spacing w:after="0" w:line="184" w:lineRule="exact"/>
        <w:rPr>
          <w:rFonts w:ascii="Arial" w:cs="Arial" w:eastAsia="Arial" w:hAnsi="Arial"/>
          <w:sz w:val="18"/>
          <w:szCs w:val="18"/>
          <w:color w:val="auto"/>
        </w:rPr>
      </w:pPr>
    </w:p>
    <w:p>
      <w:pPr>
        <w:ind w:left="1140" w:right="220" w:hanging="484"/>
        <w:spacing w:after="0" w:line="268"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Anti-Retaliation. </w:t>
      </w:r>
      <w:r>
        <w:rPr>
          <w:rFonts w:ascii="Arial" w:cs="Arial" w:eastAsia="Arial" w:hAnsi="Arial"/>
          <w:sz w:val="18"/>
          <w:szCs w:val="18"/>
          <w:color w:val="auto"/>
        </w:rPr>
        <w:t>As part of our plan to create a more inclusive workplace, we have adopted a zero tolerance policy towards</w:t>
      </w:r>
      <w:r>
        <w:rPr>
          <w:rFonts w:ascii="Arial" w:cs="Arial" w:eastAsia="Arial" w:hAnsi="Arial"/>
          <w:sz w:val="18"/>
          <w:szCs w:val="18"/>
          <w:b w:val="1"/>
          <w:bCs w:val="1"/>
          <w:color w:val="auto"/>
        </w:rPr>
        <w:t xml:space="preserve"> </w:t>
      </w:r>
      <w:r>
        <w:rPr>
          <w:rFonts w:ascii="Arial" w:cs="Arial" w:eastAsia="Arial" w:hAnsi="Arial"/>
          <w:sz w:val="18"/>
          <w:szCs w:val="18"/>
          <w:color w:val="auto"/>
        </w:rPr>
        <w:t>harassment and discrimination and created safe avenues for employees to submit complaints, including a whistleblower hotline and a formal complaint system that facilitates direct reporting to our Human Resources Department.</w:t>
      </w:r>
    </w:p>
    <w:p>
      <w:pPr>
        <w:spacing w:after="0" w:line="170" w:lineRule="exact"/>
        <w:rPr>
          <w:rFonts w:ascii="Arial" w:cs="Arial" w:eastAsia="Arial" w:hAnsi="Arial"/>
          <w:sz w:val="18"/>
          <w:szCs w:val="18"/>
          <w:color w:val="auto"/>
        </w:rPr>
      </w:pPr>
    </w:p>
    <w:p>
      <w:pPr>
        <w:ind w:left="1140" w:hanging="484"/>
        <w:spacing w:after="0" w:line="257"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We believe training and development are an important part of creating a safe, productive, fair,</w:t>
      </w:r>
      <w:r>
        <w:rPr>
          <w:rFonts w:ascii="Arial" w:cs="Arial" w:eastAsia="Arial" w:hAnsi="Arial"/>
          <w:sz w:val="18"/>
          <w:szCs w:val="18"/>
          <w:b w:val="1"/>
          <w:bCs w:val="1"/>
          <w:color w:val="auto"/>
        </w:rPr>
        <w:t xml:space="preserve"> </w:t>
      </w:r>
      <w:r>
        <w:rPr>
          <w:rFonts w:ascii="Arial" w:cs="Arial" w:eastAsia="Arial" w:hAnsi="Arial"/>
          <w:sz w:val="18"/>
          <w:szCs w:val="18"/>
          <w:color w:val="auto"/>
        </w:rPr>
        <w:t>and equitable environment. Each employee is assigned regular trainings that are relevant to either their specific role or broader corporate policies, such as cybersecurity best practices or insider trading prohibitions. Managers are given training to hone their supervisory skills and better support their employees’ development; they are, in turn, accountable for guiding the development of a personal and professional growth plan for each employee. For employees wishing to further develop their professional expertise, Denali offers education assistance for approved degree or certification programs.</w:t>
      </w:r>
    </w:p>
    <w:p>
      <w:pPr>
        <w:spacing w:after="0" w:line="182" w:lineRule="exact"/>
        <w:rPr>
          <w:rFonts w:ascii="Arial" w:cs="Arial" w:eastAsia="Arial" w:hAnsi="Arial"/>
          <w:sz w:val="18"/>
          <w:szCs w:val="18"/>
          <w:color w:val="auto"/>
        </w:rPr>
      </w:pPr>
    </w:p>
    <w:p>
      <w:pPr>
        <w:ind w:left="1140" w:hanging="484"/>
        <w:spacing w:after="0" w:line="259"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Flexible Work Options. </w:t>
      </w:r>
      <w:r>
        <w:rPr>
          <w:rFonts w:ascii="Arial" w:cs="Arial" w:eastAsia="Arial" w:hAnsi="Arial"/>
          <w:sz w:val="18"/>
          <w:szCs w:val="18"/>
          <w:color w:val="auto"/>
        </w:rPr>
        <w:t>The global pandemic has accelerated our capabilities and culture with respect to flexible work</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Denali values workplace flexibility and hybrid ways of working, and continues to invest in this model which we believe balances more workplace flexibility with time together to collaborate and connect in person. We employ enhanced tools and technology designed to help us optimize productivity and collaboration while facilitating a hybrid work environment for our workforce.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250"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At Denali, we strive to manage our operations in a way that is sustainable and reduces our impact on the environment. Denali has in place a Green Alternative program which provides researchers with information on suitable alternative chemicals that have a lower environmental impact for common solvents. Additionally, several waste streams have been segregated on-site for proper disposal or recycling, such as containers, food waste, plastics, styrofoam, and glass chemical containers, to maximize recycling and composting. Lab wastes have been routed from landfill disposal to waste-to-energy programs. Where feasible, we procure and use eco-conscious and compostable or reusable kitchen and office supplies. In addition, our permanent adoption of a hybrid remote work policy enables our employees to further reduce the environmental impact of their commutes.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w:t>
      </w:r>
    </w:p>
    <w:p>
      <w:pPr>
        <w:spacing w:after="0" w:line="25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Denali's approach to cybersecurity seeks to defend the confidentiality, integrity, and availability of our systems and information for our people and our patients. 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Our executive director of IT, who leads Denali’s cybersecurity strategy and IT team, provides quarterly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 the executive director of IT may be called upon to brief the board as well. 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As part of our overall risk management system, we conduct annual security awareness training for personnel at all levels and functions, issue periodic simulated social engineering tests, and have established protocols to escalate cybersecurity incidents from identification through remediation. Performance of our cybersecurity controls for certain systems is periodically reviewed by our internal quality functions. We further require third-party service providers who will be handling our company’s sensitive information to certify that they implement appropriate security measures, consistent with all applicable laws, to maintain reasonable security measures in connection with their work with us, and to promptly report any suspected breach of its security measures that may affect our company. The Company currently carries cybersecurity insurance for certain security events. Within the last three years, we have not experienced any material information security breaches.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7" w:lineRule="exact"/>
        <w:rPr>
          <w:sz w:val="20"/>
          <w:szCs w:val="20"/>
          <w:color w:val="auto"/>
        </w:rPr>
      </w:pPr>
    </w:p>
    <w:p>
      <w:pPr>
        <w:jc w:val="both"/>
        <w:ind w:right="120" w:firstLine="486"/>
        <w:spacing w:after="0" w:line="268" w:lineRule="auto"/>
        <w:rPr>
          <w:sz w:val="20"/>
          <w:szCs w:val="20"/>
          <w:color w:val="auto"/>
        </w:rPr>
      </w:pPr>
      <w:r>
        <w:rPr>
          <w:rFonts w:ascii="Arial" w:cs="Arial" w:eastAsia="Arial" w:hAnsi="Arial"/>
          <w:sz w:val="18"/>
          <w:szCs w:val="18"/>
          <w:color w:val="auto"/>
        </w:rPr>
        <w:t>Our board of directors is currently composed of 10 members. In accordance with our certificate of incorporation, our board of directors is divided into three classes with staggered three-year terms. At the Annual Meeting, three Class II directors will be elected for a three-year term to succeed the same class whose term is then expiring.</w:t>
      </w:r>
    </w:p>
    <w:p>
      <w:pPr>
        <w:spacing w:after="0" w:line="14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8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corporate governance and nominating committee has recommended, and our board of directors has approved, Messrs. Baker, Klein, and Krognes as nominees for election as Class II directors at the Annual Meeting. If elected, each of Messrs. Baker, Klein, and Krognes, will serve as Class II directors until the 2028 annual meeting of stockholders or until their successors are duly elected and qualified. Each of the nominees currently is a director of our Company. For information concerning the nominees, see “Board of Directors and Corporate Governance.”</w:t>
      </w:r>
    </w:p>
    <w:p>
      <w:pPr>
        <w:spacing w:after="0" w:line="13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Messrs. Baker, Klein, and Krognes. We expect that Messrs. Baker, Klein, and Krognes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nominee, then your broker, bank, or other nominee will leave your shares unvoted on this matter.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98"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election of Class II directors requires a plurality vote of the shares of our common stock present in person or by proxy at the Annual Meeting and entitled to vote thereon to be approved. Accordingly, the three nominees receiving the highest number of votes cast “FOR” will be elected. Any shares voted “WITHHOLD” and broker non-votes are not considered votes cast for the foregoing purpose and will have no effect on the outcome of the election.</w:t>
      </w:r>
    </w:p>
    <w:p>
      <w:pPr>
        <w:spacing w:after="0" w:line="284" w:lineRule="exact"/>
        <w:rPr>
          <w:sz w:val="20"/>
          <w:szCs w:val="20"/>
          <w:color w:val="auto"/>
        </w:rPr>
      </w:pPr>
    </w:p>
    <w:p>
      <w:pPr>
        <w:jc w:val="both"/>
        <w:ind w:right="220"/>
        <w:spacing w:after="0" w:line="273" w:lineRule="auto"/>
        <w:rPr>
          <w:sz w:val="20"/>
          <w:szCs w:val="20"/>
          <w:color w:val="auto"/>
        </w:rPr>
      </w:pPr>
      <w:r>
        <w:rPr>
          <w:rFonts w:ascii="Arial" w:cs="Arial" w:eastAsia="Arial" w:hAnsi="Arial"/>
          <w:sz w:val="18"/>
          <w:szCs w:val="18"/>
          <w:b w:val="1"/>
          <w:bCs w:val="1"/>
          <w:color w:val="auto"/>
        </w:rPr>
        <w:t xml:space="preserve">THE BOARD OF DIRECTORS RECOMMENDS A VOTE “FOR” THE ELECTION OF EACH OF THE THREE DIRECTORS NOMINATED BY OUR BOARD OF DIRECTORS AND NAMED IN THIS PROXY STATEMENT AS CLASS </w:t>
      </w:r>
      <w:r>
        <w:rPr>
          <w:rFonts w:ascii="Arial" w:cs="Arial" w:eastAsia="Arial" w:hAnsi="Arial"/>
          <w:sz w:val="18"/>
          <w:szCs w:val="18"/>
          <w:color w:val="auto"/>
        </w:rPr>
        <w:t>II</w:t>
      </w:r>
      <w:r>
        <w:rPr>
          <w:rFonts w:ascii="Arial" w:cs="Arial" w:eastAsia="Arial" w:hAnsi="Arial"/>
          <w:sz w:val="18"/>
          <w:szCs w:val="18"/>
          <w:b w:val="1"/>
          <w:bCs w:val="1"/>
          <w:color w:val="auto"/>
        </w:rPr>
        <w:t xml:space="preserve"> DIRECTORS TO SERVE FOR A THREE-YEAR TERM.</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7" w:lineRule="exact"/>
        <w:rPr>
          <w:sz w:val="20"/>
          <w:szCs w:val="20"/>
          <w:color w:val="auto"/>
        </w:rPr>
      </w:pPr>
    </w:p>
    <w:p>
      <w:pPr>
        <w:ind w:right="140" w:firstLine="486"/>
        <w:spacing w:after="0" w:line="268"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to audit our consolidated financial statements for our fiscal year ending December 31, 2025. Ernst &amp; Young LLP has served as our independent registered public accounting firm since 2015.</w:t>
      </w:r>
    </w:p>
    <w:p>
      <w:pPr>
        <w:spacing w:after="0" w:line="14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At the Annual Meeting, stockholders are being asked to ratify the appointment of Ernst &amp; Young LLP as our independent registered public accounting firm for our fiscal year ending December 31, 2025. Stockholder ratification of the appointment of Ernst &amp; Young LLP is not required by our bylaws or other applicable legal requirements. However, our board of directors is submitting the appointment of Ernst &amp; Young LLP to our stockholders for ratification as a matter of good corporate governance. In the event that this appointment is not ratified by the affirmative vote of a majority of the shares present in person or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2025 if our audit committee believes that such a change would be in the best interests of Denali and its stockholders. If the appointment is not ratified by our stockholders, the audit committee may reconsider whether it should appoint another independent registered public accounting firm. A representative of Ernst &amp; Young LLP is expected to be present at the Annual Meeting, will have an opportunity to make a statement if he or she wishes to do so, and is expected to be available to respond to appropriate questions from stockholders.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85" w:lineRule="exact"/>
        <w:rPr>
          <w:sz w:val="20"/>
          <w:szCs w:val="20"/>
          <w:color w:val="auto"/>
        </w:rPr>
      </w:pPr>
    </w:p>
    <w:p>
      <w:pPr>
        <w:ind w:right="120" w:firstLine="486"/>
        <w:spacing w:after="0" w:line="287"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Ernst &amp; Young LLP for our fiscal years ended December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r>
      <w:tr>
        <w:trPr>
          <w:trHeight w:val="197"/>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w:t>
            </w:r>
            <w:r>
              <w:rPr>
                <w:rFonts w:ascii="Arial" w:cs="Arial" w:eastAsia="Arial" w:hAnsi="Arial"/>
                <w:sz w:val="9"/>
                <w:szCs w:val="9"/>
                <w:color w:val="auto"/>
              </w:rPr>
              <w:t>(1)</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2,620,000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1,903,425</w:t>
            </w:r>
          </w:p>
        </w:tc>
      </w:tr>
      <w:tr>
        <w:trPr>
          <w:trHeight w:val="198"/>
        </w:trPr>
        <w:tc>
          <w:tcPr>
            <w:tcW w:w="7480" w:type="dxa"/>
            <w:vAlign w:val="bottom"/>
          </w:tcPr>
          <w:p>
            <w:pPr>
              <w:ind w:left="2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9"/>
                <w:szCs w:val="9"/>
                <w:color w:val="auto"/>
              </w:rPr>
              <w:t>(2)</w:t>
            </w:r>
          </w:p>
        </w:tc>
        <w:tc>
          <w:tcPr>
            <w:tcW w:w="10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Fees</w:t>
            </w:r>
            <w:r>
              <w:rPr>
                <w:rFonts w:ascii="Arial" w:cs="Arial" w:eastAsia="Arial" w:hAnsi="Arial"/>
                <w:sz w:val="9"/>
                <w:szCs w:val="9"/>
                <w:color w:val="auto"/>
              </w:rPr>
              <w:t>(3)</w:t>
            </w:r>
          </w:p>
        </w:tc>
        <w:tc>
          <w:tcPr>
            <w:tcW w:w="10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480" w:type="dxa"/>
            <w:vAlign w:val="bottom"/>
          </w:tcPr>
          <w:p>
            <w:pPr>
              <w:ind w:left="20"/>
              <w:spacing w:after="0"/>
              <w:rPr>
                <w:sz w:val="20"/>
                <w:szCs w:val="20"/>
                <w:color w:val="auto"/>
              </w:rPr>
            </w:pPr>
            <w:r>
              <w:rPr>
                <w:rFonts w:ascii="Arial" w:cs="Arial" w:eastAsia="Arial" w:hAnsi="Arial"/>
                <w:sz w:val="14"/>
                <w:szCs w:val="14"/>
                <w:color w:val="auto"/>
              </w:rPr>
              <w:t>Total Fees</w:t>
            </w:r>
          </w:p>
        </w:tc>
        <w:tc>
          <w:tcPr>
            <w:tcW w:w="108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2,620,000</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1,903,425</w:t>
            </w:r>
          </w:p>
        </w:tc>
      </w:tr>
      <w:tr>
        <w:trPr>
          <w:trHeight w:val="25"/>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0518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22" w:lineRule="exact"/>
        <w:rPr>
          <w:sz w:val="20"/>
          <w:szCs w:val="20"/>
          <w:color w:val="auto"/>
        </w:rPr>
      </w:pPr>
    </w:p>
    <w:p>
      <w:pPr>
        <w:ind w:left="500" w:right="20" w:hanging="492"/>
        <w:spacing w:after="0" w:line="272" w:lineRule="auto"/>
        <w:tabs>
          <w:tab w:leader="none" w:pos="497" w:val="left"/>
        </w:tabs>
        <w:numPr>
          <w:ilvl w:val="0"/>
          <w:numId w:val="22"/>
        </w:numPr>
        <w:rPr>
          <w:rFonts w:ascii="Arial" w:cs="Arial" w:eastAsia="Arial" w:hAnsi="Arial"/>
          <w:sz w:val="11"/>
          <w:szCs w:val="11"/>
          <w:color w:val="auto"/>
        </w:rPr>
      </w:pPr>
      <w:r>
        <w:rPr>
          <w:rFonts w:ascii="Arial" w:cs="Arial" w:eastAsia="Arial" w:hAnsi="Arial"/>
          <w:sz w:val="14"/>
          <w:szCs w:val="14"/>
          <w:color w:val="auto"/>
        </w:rPr>
        <w:t>Audit Fees consist of fees for professional services for the audit of our annual consolidated financial statements, including internal control attestation, the review of interim financial statements, statutory audits, and related services that are normally provided in connection with registration statements, including comfort letters and consents. The Audit Fees for the fiscal year ended December 31, 2024 include fees associated with our private investment in public equity ("PIPE") offering completed in February 2024.</w:t>
      </w:r>
    </w:p>
    <w:p>
      <w:pPr>
        <w:spacing w:after="0" w:line="155" w:lineRule="exact"/>
        <w:rPr>
          <w:rFonts w:ascii="Arial" w:cs="Arial" w:eastAsia="Arial" w:hAnsi="Arial"/>
          <w:sz w:val="11"/>
          <w:szCs w:val="11"/>
          <w:color w:val="auto"/>
        </w:rPr>
      </w:pPr>
    </w:p>
    <w:p>
      <w:pPr>
        <w:ind w:left="500" w:right="280" w:hanging="492"/>
        <w:spacing w:after="0" w:line="261" w:lineRule="auto"/>
        <w:tabs>
          <w:tab w:leader="none" w:pos="497" w:val="left"/>
        </w:tabs>
        <w:numPr>
          <w:ilvl w:val="0"/>
          <w:numId w:val="22"/>
        </w:numPr>
        <w:rPr>
          <w:rFonts w:ascii="Arial" w:cs="Arial" w:eastAsia="Arial" w:hAnsi="Arial"/>
          <w:sz w:val="11"/>
          <w:szCs w:val="11"/>
          <w:color w:val="auto"/>
        </w:rPr>
      </w:pPr>
      <w:r>
        <w:rPr>
          <w:rFonts w:ascii="Arial" w:cs="Arial" w:eastAsia="Arial" w:hAnsi="Arial"/>
          <w:sz w:val="14"/>
          <w:szCs w:val="14"/>
          <w:color w:val="auto"/>
        </w:rPr>
        <w:t>Audit-Related Fees include fees for assurance and related services that are reasonably related to the performance of the audit or review of our consolidated financial statements. There were no Audit-Related Fees incurred in 2024 or 2023.</w:t>
      </w:r>
    </w:p>
    <w:p>
      <w:pPr>
        <w:ind w:left="500" w:right="320" w:hanging="492"/>
        <w:spacing w:after="0" w:line="284" w:lineRule="auto"/>
        <w:tabs>
          <w:tab w:leader="none" w:pos="497" w:val="left"/>
        </w:tabs>
        <w:numPr>
          <w:ilvl w:val="0"/>
          <w:numId w:val="22"/>
        </w:numPr>
        <w:rPr>
          <w:rFonts w:ascii="Arial" w:cs="Arial" w:eastAsia="Arial" w:hAnsi="Arial"/>
          <w:sz w:val="11"/>
          <w:szCs w:val="11"/>
          <w:color w:val="auto"/>
        </w:rPr>
      </w:pPr>
      <w:r>
        <w:rPr>
          <w:rFonts w:ascii="Arial" w:cs="Arial" w:eastAsia="Arial" w:hAnsi="Arial"/>
          <w:sz w:val="14"/>
          <w:szCs w:val="14"/>
          <w:color w:val="auto"/>
        </w:rPr>
        <w:t>Tax Fees include fees billed for professional services rendered by the principal accountant for tax compliance, tax advice, and tax planning. There were no Tax Fees incurred in 2024 or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98" w:lineRule="exact"/>
        <w:rPr>
          <w:sz w:val="20"/>
          <w:szCs w:val="20"/>
          <w:color w:val="auto"/>
        </w:rPr>
      </w:pPr>
    </w:p>
    <w:p>
      <w:pPr>
        <w:ind w:right="360" w:firstLine="486"/>
        <w:spacing w:after="0" w:line="281" w:lineRule="auto"/>
        <w:rPr>
          <w:sz w:val="20"/>
          <w:szCs w:val="20"/>
          <w:color w:val="auto"/>
        </w:rPr>
      </w:pPr>
      <w:r>
        <w:rPr>
          <w:rFonts w:ascii="Arial" w:cs="Arial" w:eastAsia="Arial" w:hAnsi="Arial"/>
          <w:sz w:val="18"/>
          <w:szCs w:val="18"/>
          <w:color w:val="auto"/>
        </w:rPr>
        <w:t>In 2024, there were no other professional services provided by Ernst &amp; Young LLP that would have required our audit committee to consider their compatibility with maintaining the independence of Ernst &amp; Young LLP.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40"/>
        <w:spacing w:after="0" w:line="296"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9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Ernst &amp; Young LLP for our fiscal years ended December 31, 2023 and 2024 were pre-approved by our audit committee.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98"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The ratification of the appointment of Ernst &amp; Young LLP requires the affirmative vote of a majority of the shares of our common stock present in person or by proxy at the Annual Meeting and entitled to vote thereon. Abstentions will have the effect of a vote AGAINST the proposal.</w:t>
      </w:r>
    </w:p>
    <w:p>
      <w:pPr>
        <w:spacing w:after="0" w:line="279"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OUR INDEPENDENT REGISTERED PUBLIC ACCOUNTING FIRM FOR OUR FISCAL YEAR ENDING DECEMBER 31, 2025.</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34"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As required under Section 14A of the Exchange Act, in accordance with the Dodd-Frank Wall Street Reform and Consumer Protection Act of 2010 (the “Dodd-Frank Act”) and SEC rules, we are providing our stockholders the opportunity to vote to approve, on an advisory and non-binding basis, the compensation of our named executive officers. We are asking our stockholders to provide an advisory vote to approve the compensation of our named executive officers as described in this proxy statement, including the Compensation Discussion and Analysis section, along with the accompanying compensation tables and narrative disclosures. This proposal, commonly known as a “say-on-pay” vote, gives our stockholders the opportunity to express their views on the compensation of our named executive officers. We currently hold say-on-pay votes annually, and we will hold our next say-on-pay vote at the 2026 annual meeting of the stockholders.</w:t>
      </w:r>
    </w:p>
    <w:p>
      <w:pPr>
        <w:spacing w:after="0" w:line="210" w:lineRule="exact"/>
        <w:rPr>
          <w:sz w:val="20"/>
          <w:szCs w:val="20"/>
          <w:color w:val="auto"/>
        </w:rPr>
      </w:pPr>
    </w:p>
    <w:p>
      <w:pPr>
        <w:ind w:right="240" w:firstLine="486"/>
        <w:spacing w:after="0" w:line="268" w:lineRule="auto"/>
        <w:rPr>
          <w:sz w:val="20"/>
          <w:szCs w:val="20"/>
          <w:color w:val="auto"/>
        </w:rPr>
      </w:pPr>
      <w:r>
        <w:rPr>
          <w:rFonts w:ascii="Arial" w:cs="Arial" w:eastAsia="Arial" w:hAnsi="Arial"/>
          <w:sz w:val="18"/>
          <w:szCs w:val="18"/>
          <w:color w:val="auto"/>
        </w:rPr>
        <w:t>The “say-on-pay” vote is advisory, and as such is not binding on the Company, but it does provide the compensation committee with valuable information regarding investor sentiment about our executive compensation policies and programs, which our compensation committee will be able to consider when determining executive compensation in the future.</w:t>
      </w:r>
    </w:p>
    <w:p>
      <w:pPr>
        <w:spacing w:after="0" w:line="198"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Please see the Compensation Discussion and Analysis section of this proxy statement, the accompanying compensation tables and the narrative disclosures for greater detail about our executive compensation programs, including information about the fiscal year 2024 compensation of our named executive officers. We believe that our executive compensation programs have been effective in achieving long-term alignment of management and stockholder interests, consistent with the Company’s philosophy on pay and performance.</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ask that you vote “FOR” the following resolution:</w:t>
      </w:r>
    </w:p>
    <w:p>
      <w:pPr>
        <w:spacing w:after="0" w:line="252"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RESOLVED: That the stockholders of Denali Therapeutics Inc. hereby approve, on an advisory basis, the compensation of the named executive officers, including the Compensation Discussion and Analysis, compensation tables and the narrative discussion, as disclosed in the proxy statement furnished for the 2025 Annual Meeting of Stockholders pursuant to the compensation disclosure rules and regulations of the U.S. Securities and Exchange Commission.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2"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Approval, on an advisory basis, of named executive officer compensation requires the affirmative vote of a majority of the shares of our common stock present in person or by proxy at the Annual Meeting. Unless otherwise indicated, proxies received will be voted “FOR” approval, on an advisory basis, of named executive officer compensation.</w:t>
      </w:r>
    </w:p>
    <w:p>
      <w:pPr>
        <w:spacing w:after="0" w:line="279"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COMPENSATION OF OUR NAMED EXECUTIVE OFFICERS AS DISCLOSED IN THIS PROXY STATEMENT.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 REPORTS</w:t>
      </w:r>
    </w:p>
    <w:p>
      <w:pPr>
        <w:spacing w:after="0" w:line="185" w:lineRule="exact"/>
        <w:rPr>
          <w:sz w:val="20"/>
          <w:szCs w:val="20"/>
          <w:color w:val="auto"/>
        </w:rPr>
      </w:pPr>
    </w:p>
    <w:p>
      <w:pPr>
        <w:ind w:firstLine="486"/>
        <w:spacing w:after="0" w:line="282" w:lineRule="auto"/>
        <w:rPr>
          <w:sz w:val="20"/>
          <w:szCs w:val="20"/>
          <w:color w:val="auto"/>
        </w:rPr>
      </w:pPr>
      <w:r>
        <w:rPr>
          <w:rFonts w:ascii="Arial" w:cs="Arial" w:eastAsia="Arial" w:hAnsi="Arial"/>
          <w:sz w:val="17"/>
          <w:szCs w:val="17"/>
          <w:color w:val="auto"/>
        </w:rPr>
        <w:t>The following reports of the compensation committee and audit committee do not constitute soliciting material and shall not be deemed filed or incorporated by reference into any other filing by Denali under the Securities Act of 1933, as amended, or the Securities Exchange Act of 1934, as amended, through any general statement incorporating by reference in its entirety the proxy statement in which the following reports appears, except to the extent that Denali specifically incorporates a committee report or a portion of it by reference in such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98" w:lineRule="exact"/>
        <w:rPr>
          <w:sz w:val="20"/>
          <w:szCs w:val="20"/>
          <w:color w:val="auto"/>
        </w:rPr>
      </w:pPr>
    </w:p>
    <w:p>
      <w:pPr>
        <w:ind w:right="100" w:firstLine="486"/>
        <w:spacing w:after="0" w:line="268"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Denali’s management. Based on this review and discussion, the compensation committee has recommended to the board of directors that the Compensation Discussion and Analysis be included in Denali’s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Jay Flatley (Chairperson)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Klein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Thornberry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audit committee serves as the representative of our board of directors with respect to its oversight of:</w:t>
      </w:r>
    </w:p>
    <w:p>
      <w:pPr>
        <w:spacing w:after="0" w:line="185" w:lineRule="exact"/>
        <w:rPr>
          <w:sz w:val="20"/>
          <w:szCs w:val="20"/>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accounting and financial reporting processes and the audit of our financial statements;</w:t>
      </w:r>
    </w:p>
    <w:p>
      <w:pPr>
        <w:spacing w:after="0" w:line="198"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integrity of our consolidated financial statements;</w:t>
      </w:r>
    </w:p>
    <w:p>
      <w:pPr>
        <w:spacing w:after="0" w:line="184"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84" w:lineRule="exact"/>
        <w:rPr>
          <w:rFonts w:ascii="Arial" w:cs="Arial" w:eastAsia="Arial" w:hAnsi="Arial"/>
          <w:sz w:val="18"/>
          <w:szCs w:val="18"/>
          <w:color w:val="auto"/>
        </w:rPr>
      </w:pPr>
    </w:p>
    <w:p>
      <w:pPr>
        <w:ind w:left="1800" w:right="80" w:hanging="496"/>
        <w:spacing w:after="0" w:line="268" w:lineRule="auto"/>
        <w:tabs>
          <w:tab w:leader="none" w:pos="17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policies for risk assessment and risk management, and assessing the steps management has taken to control these risks, which includes oversight related to significant risks in the areas of finance, accounting, disclosure, corporate compliance, and information security; and</w:t>
      </w:r>
    </w:p>
    <w:p>
      <w:pPr>
        <w:spacing w:after="0" w:line="143"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appointment, qualifications and independence.</w:t>
      </w:r>
    </w:p>
    <w:p>
      <w:pPr>
        <w:spacing w:after="0" w:line="185"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The audit committee also reviews the performance of our independent registered public accounting firm, Ernst &amp; Young LLP, in the annual audit of our financial statements and in assignments unrelated to the audit, and reviews the independent registered public accounting firm’s fees.</w:t>
      </w:r>
    </w:p>
    <w:p>
      <w:pPr>
        <w:spacing w:after="0" w:line="130" w:lineRule="exact"/>
        <w:rPr>
          <w:sz w:val="20"/>
          <w:szCs w:val="20"/>
          <w:color w:val="auto"/>
        </w:rPr>
      </w:pPr>
    </w:p>
    <w:p>
      <w:pPr>
        <w:ind w:right="280" w:firstLine="486"/>
        <w:spacing w:after="0" w:line="287" w:lineRule="auto"/>
        <w:rPr>
          <w:sz w:val="20"/>
          <w:szCs w:val="20"/>
          <w:color w:val="auto"/>
        </w:rPr>
      </w:pPr>
      <w:r>
        <w:rPr>
          <w:rFonts w:ascii="Arial" w:cs="Arial" w:eastAsia="Arial" w:hAnsi="Arial"/>
          <w:sz w:val="18"/>
          <w:szCs w:val="18"/>
          <w:color w:val="auto"/>
        </w:rPr>
        <w:t>The audit committee is composed of three non-employee directors. Our board of directors has determined that each member of the audit committee is independent and that Mr. Klein qualifies as an “audit committee financial expert” under the SEC rules.</w:t>
      </w:r>
    </w:p>
    <w:p>
      <w:pPr>
        <w:spacing w:after="0" w:line="126"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audit committee provides our board of directors such information and materials as it may deem necessary to make our board of directors aware of financial matters requiring the attention of our board of directors. The audit committee reviews our financial disclosures and meets privately, outside the presence of our management, with our independent registered public accounting firm. In fulfilling its oversight responsibilities, the audit committee reviewed and discussed the audited financial statements in our 2024 Annual Report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our board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 xml:space="preserve">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issued by the Public Company Accounting Oversight Board (“PCAOB”).</w:t>
      </w:r>
    </w:p>
    <w:p>
      <w:pPr>
        <w:spacing w:after="0" w:line="14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and considered the compatibility of non-audit services with Ernst &amp; Young</w:t>
      </w:r>
      <w:r>
        <w:rPr>
          <w:rFonts w:ascii="Arial" w:cs="Arial" w:eastAsia="Arial" w:hAnsi="Arial"/>
          <w:sz w:val="18"/>
          <w:szCs w:val="18"/>
          <w:i w:val="1"/>
          <w:iCs w:val="1"/>
          <w:color w:val="auto"/>
        </w:rPr>
        <w:t xml:space="preserve"> </w:t>
      </w:r>
      <w:r>
        <w:rPr>
          <w:rFonts w:ascii="Arial" w:cs="Arial" w:eastAsia="Arial" w:hAnsi="Arial"/>
          <w:sz w:val="18"/>
          <w:szCs w:val="18"/>
          <w:color w:val="auto"/>
        </w:rPr>
        <w:t>LLP’s independence.</w:t>
      </w:r>
    </w:p>
    <w:p>
      <w:pPr>
        <w:spacing w:after="0" w:line="14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Company’s audited consolidated financial statements be included in the Company’s Annual Report on Form 10-K for the fiscal year ended December 31, 2024 for filing with the Securities and Exchange Commission. The audit committee also has selected Ernst &amp; Young LLP as the independent registered public accounting firm for fiscal year ending December 31, 2025. Our board of directors recommends that stockholders ratify this selection at the Annual Meeting.</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Klein (Chairperson)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Jay Flatley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Erik Harris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85" w:lineRule="exact"/>
        <w:rPr>
          <w:sz w:val="20"/>
          <w:szCs w:val="20"/>
          <w:color w:val="auto"/>
        </w:rPr>
      </w:pPr>
    </w:p>
    <w:p>
      <w:pPr>
        <w:ind w:right="420" w:firstLine="486"/>
        <w:spacing w:after="0" w:line="318" w:lineRule="auto"/>
        <w:rPr>
          <w:sz w:val="20"/>
          <w:szCs w:val="20"/>
          <w:color w:val="auto"/>
        </w:rPr>
      </w:pPr>
      <w:r>
        <w:rPr>
          <w:rFonts w:ascii="Arial" w:cs="Arial" w:eastAsia="Arial" w:hAnsi="Arial"/>
          <w:sz w:val="17"/>
          <w:szCs w:val="17"/>
          <w:color w:val="auto"/>
        </w:rPr>
        <w:t>The following table sets forth certain information about our named executive officers (collectively, our "NEOs") and their respective ages as of March 31, 2025. Officers are elected by the board of directors to hold office until their successors are elected and qualified.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562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r>
      <w:tr>
        <w:trPr>
          <w:trHeight w:val="197"/>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President, Chief Executive Officer and Director</w:t>
            </w:r>
          </w:p>
        </w:tc>
      </w:tr>
      <w:tr>
        <w:trPr>
          <w:trHeight w:val="198"/>
        </w:trPr>
        <w:tc>
          <w:tcPr>
            <w:tcW w:w="4280" w:type="dxa"/>
            <w:vAlign w:val="bottom"/>
          </w:tcPr>
          <w:p>
            <w:pPr>
              <w:ind w:left="20"/>
              <w:spacing w:after="0"/>
              <w:rPr>
                <w:sz w:val="20"/>
                <w:szCs w:val="20"/>
                <w:color w:val="auto"/>
              </w:rPr>
            </w:pPr>
            <w:r>
              <w:rPr>
                <w:rFonts w:ascii="Arial" w:cs="Arial" w:eastAsia="Arial" w:hAnsi="Arial"/>
                <w:sz w:val="14"/>
                <w:szCs w:val="14"/>
                <w:color w:val="auto"/>
              </w:rPr>
              <w:t>Alexander O. Schuth, M.D.</w:t>
            </w:r>
          </w:p>
        </w:tc>
        <w:tc>
          <w:tcPr>
            <w:tcW w:w="1220" w:type="dxa"/>
            <w:vAlign w:val="bottom"/>
          </w:tcPr>
          <w:p>
            <w:pPr>
              <w:jc w:val="center"/>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5620" w:type="dxa"/>
            <w:vAlign w:val="bottom"/>
          </w:tcPr>
          <w:p>
            <w:pPr>
              <w:ind w:left="20"/>
              <w:spacing w:after="0"/>
              <w:rPr>
                <w:sz w:val="20"/>
                <w:szCs w:val="20"/>
                <w:color w:val="auto"/>
              </w:rPr>
            </w:pPr>
            <w:r>
              <w:rPr>
                <w:rFonts w:ascii="Arial" w:cs="Arial" w:eastAsia="Arial" w:hAnsi="Arial"/>
                <w:sz w:val="14"/>
                <w:szCs w:val="14"/>
                <w:color w:val="auto"/>
              </w:rPr>
              <w:t>Chief Operating and Financial Officer, and Secretary</w:t>
            </w:r>
          </w:p>
        </w:tc>
      </w:tr>
      <w:tr>
        <w:trPr>
          <w:trHeight w:val="207"/>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Medical Officer</w:t>
            </w:r>
          </w:p>
        </w:tc>
      </w:tr>
    </w:tbl>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biography of Dr. Watts, see “Board of Directors and Corporate Governance — Continuing Directors.”</w:t>
      </w:r>
    </w:p>
    <w:p>
      <w:pPr>
        <w:spacing w:after="0" w:line="185"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Alexander O. Schuth, M.D. </w:t>
      </w:r>
      <w:r>
        <w:rPr>
          <w:rFonts w:ascii="Arial" w:cs="Arial" w:eastAsia="Arial" w:hAnsi="Arial"/>
          <w:sz w:val="18"/>
          <w:szCs w:val="18"/>
          <w:i w:val="1"/>
          <w:iCs w:val="1"/>
          <w:color w:val="auto"/>
        </w:rPr>
        <w:t>i</w:t>
      </w:r>
      <w:r>
        <w:rPr>
          <w:rFonts w:ascii="Arial" w:cs="Arial" w:eastAsia="Arial" w:hAnsi="Arial"/>
          <w:sz w:val="18"/>
          <w:szCs w:val="18"/>
          <w:color w:val="auto"/>
        </w:rPr>
        <w:t>s one of our co-founders and has served as our Chief Operating Officer since March 2015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Secretary since June 2015. On March 14, 2022, the Board appointed Dr. Schuth to the role of Chief Financial Officer, effective as of May 1, 2022. As of this date, Dr. Schuth became the Company’s Chief Operating and Financial Officer, and retained his role as Secretary of the Company.</w:t>
      </w:r>
    </w:p>
    <w:p>
      <w:pPr>
        <w:spacing w:after="0" w:line="136"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Dr. Schuth co-founded and joined Denali from Genentech, where he held various roles of increasing responsibility between 2005 and 2015; from September 2014 to March 2015, Dr. Schuth served as Head of Technology Innovation and Diagnostics Partnering; from March 2010 to September 2014, Dr. Schuth served as Head of Neuroscience Partnering; from January 2007 to March 2010, Dr. Schuth worked in the business development team; and from August 2005 to January 2007, Dr. Schuth worked as an R&amp;D finance manager. From January 2001 to May 2003, he served as Investment Banking Associate in the equity capital markets group at Merrill Lynch in London. He currently serves on the board of directors of Molecular Health GmbH, a privately held biopharmaceutical company. Dr. Schuth received his M.B.A. from The Wharton School of the University of Pennsylvania and his M.D. from the Charite Medical School at the Humboldt University in Berlin, Germany.</w:t>
      </w:r>
    </w:p>
    <w:p>
      <w:pPr>
        <w:spacing w:after="0" w:line="15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b w:val="1"/>
          <w:bCs w:val="1"/>
          <w:i w:val="1"/>
          <w:iCs w:val="1"/>
          <w:color w:val="auto"/>
        </w:rPr>
        <w:t xml:space="preserve">Carole Ho, M.D. </w:t>
      </w:r>
      <w:r>
        <w:rPr>
          <w:rFonts w:ascii="Arial" w:cs="Arial" w:eastAsia="Arial" w:hAnsi="Arial"/>
          <w:sz w:val="18"/>
          <w:szCs w:val="18"/>
          <w:color w:val="auto"/>
        </w:rPr>
        <w:t>has served as our Chief Medical Officer and Head of Development since June 2015. Dr. Ho joined Denali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Genentech, where she held various roles of increasing responsibility between 2007 and 2015; from October 2014 to June 2015, Dr. Ho served as Vice President, Non-Oncology Early Clinical Development; from November 2013 to October 2014, Dr. Ho served as Senior Group Medical Director, Early Clinical Development; from April 2011 to November 2013, Dr. Ho served as Group Medical Director, Early Clinical Development; from June 2009 to April 2011, Dr. Ho served as Group Medical Director Global Product Development (Inflammation); and from October 2007 to June 2009, Dr. Ho served as Medical Director, Early Clinical Development. From November 2006 to October 2007, Dr. Ho served as Associate Medical Director at Johnson &amp; Johnson, a health care products company. From June 2002 to November 2006, she was an instructor in the Department of Neurology and Neurological Sciences at Stanford University. Dr. Ho completed a residency in neurology at Partners Neurology Residency of the Massachusetts General and Brigham and Women’s Hospital and was board certified in neurology and psychiatry between 2004 and 2014. Dr. Ho currently serves on the boards of directors of Beam Therapeutics and NGM Biopharmaceutics Inc. Dr. Ho received her M.D. from Cornell University and her B.S. in Biochemical Sciences from Harvard College.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5"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In this Compensation, Discussion and Analysis (“CD&amp;A”), we provide an overview of our executive compensation philosophy and objectives as well as a description of the material components of our executive compensation program for our named executive officers (“NEOs,” also referred to in this CD&amp;A as our “executives” or our “executive officers”). This CD&amp;A is intended to be read in conjunction with the tables which immediately follow this section, which provide further historical compensation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5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goal is to discover, develop, and deliver a new class of barrier-crossing therapeutics and to defeat degeneration. We are building a broad portfolio of therapeutic candidates by investing in our transport vehicle (“TV”) franchises, i.e., Enzyme TV ("ETV"), Oligonucleotide TV ("OTV"), and Antibody TV ("ATV"), to advance programs for rare diseases, such as lysosomal storage diseases, and common diseases, such as Alzheimer's disease and Parkinson's disease. Our most advanced TV-enabled program is tividenofusp alfa (DNL310, ETV:IDS) for the potential treatment of mucopolysaccharidosis II ("MPS II", or Hunter syndrome). On April 2, 2025, we announced initiation of a rolling submission of the biologics license application ("BLA") for tividenofusp alfa under the U.S. Food and Drug Administration(FDA)'s accelerated approval pathway, and we are preparing for a potential commercial launch in late 2025 or early 2026. Our TV-enabled clinical development portfolio also includes DNL126 (ETV:SGSH) for MPS IIIA (Sanfilippo syndrome) and DNL593 (PTV:PGRN) for frontotemporal dementia-granulin (“FTD-GRN”). We are also developing BIIB122/DNL151 (small molecule LRRK2 inhibitor) for Parkinson’s disease. We believe the combination of a clinically validated delivery platform and a maturing therapeutic portfolio will position us for long-term success in our goal to deliver barrier-crossing, targeted, and effective medicines.</w:t>
      </w:r>
    </w:p>
    <w:p>
      <w:pPr>
        <w:spacing w:after="0" w:line="209" w:lineRule="exact"/>
        <w:rPr>
          <w:sz w:val="20"/>
          <w:szCs w:val="20"/>
          <w:color w:val="auto"/>
        </w:rPr>
      </w:pPr>
    </w:p>
    <w:p>
      <w:pPr>
        <w:ind w:right="580" w:firstLine="486"/>
        <w:spacing w:after="0" w:line="287" w:lineRule="auto"/>
        <w:rPr>
          <w:sz w:val="20"/>
          <w:szCs w:val="20"/>
          <w:color w:val="auto"/>
        </w:rPr>
      </w:pPr>
      <w:r>
        <w:rPr>
          <w:rFonts w:ascii="Arial" w:cs="Arial" w:eastAsia="Arial" w:hAnsi="Arial"/>
          <w:sz w:val="18"/>
          <w:szCs w:val="18"/>
          <w:color w:val="auto"/>
        </w:rPr>
        <w:t>In 2024 we expanded and progressed our clinical programs for neurodegenerative and lysosomal storage diseases. Some 2024 business milestones include: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and expanded our TransportVehicle</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clinical portfolio</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 xml:space="preserve">Tividenofusp alfa (DNL310, ETV:IDS): </w:t>
      </w:r>
      <w:r>
        <w:rPr>
          <w:rFonts w:ascii="Arial" w:cs="Arial" w:eastAsia="Arial" w:hAnsi="Arial"/>
          <w:sz w:val="18"/>
          <w:szCs w:val="18"/>
          <w:color w:val="auto"/>
        </w:rPr>
        <w:t>We announced plans to file a BLA in early 2025 for accelerated approval of tividenofusp alpha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MPS II (Hunter syndrome), based on the outcome of a successful meeting with the FDA's Center for Drug Evaluation and Research ("CDER") whereupon alignment was reached that cerebrospinal fluid heparan sulfate ("CSF HS") can be used as a surrogate endpoint. We completed enrollment of 47 participants with MPS II in the Phase 1/2 open-label study. We also completed target enrollment of 33 participants with neuronopathic MPS II in Cohort A of the global Phase 2/3 COMPASS study and continued to enroll participants with non-neuronopathic MPS II in Cohort B.</w:t>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DNL126 (ETV:SGSH): </w:t>
      </w:r>
      <w:r>
        <w:rPr>
          <w:rFonts w:ascii="Arial" w:cs="Arial" w:eastAsia="Arial" w:hAnsi="Arial"/>
          <w:sz w:val="18"/>
          <w:szCs w:val="18"/>
          <w:color w:val="auto"/>
        </w:rPr>
        <w:t>We announced that dosing commenced in the Phase 1/2 study of DNL126 in participants with MPS IIIA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DNL126 was selected for the FDA's Support for clinical Trials Advancing Rare disease Therapeutics ("START") program to accelerate the development of rare disease therapeutics. We also announced that preliminary Phase 1/2 data from up to 25 weeks of dosing demonstrated a significant reduction in CSF HS levels from baseline, including normalization. We expanded the study to support a potential accelerated approval path.</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 xml:space="preserve">TAK-594/DNL593 (PTV:PGRN): </w:t>
      </w:r>
      <w:r>
        <w:rPr>
          <w:rFonts w:ascii="Arial" w:cs="Arial" w:eastAsia="Arial" w:hAnsi="Arial"/>
          <w:sz w:val="18"/>
          <w:szCs w:val="18"/>
          <w:color w:val="auto"/>
        </w:rPr>
        <w:t>We recommenced dosing of participants with granulin (GRN)-related frontotemporal dementia (FTD-GRN)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Phase 1/2 study following a voluntarily pause to implement protocol modifications.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our small molecule clinical portfolio</w:t>
      </w:r>
    </w:p>
    <w:p>
      <w:pPr>
        <w:spacing w:after="0" w:line="250"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 xml:space="preserve">BIIB122/DNL151 (LRRK2 inhibitor) for Parkinson's disease: </w:t>
      </w:r>
      <w:r>
        <w:rPr>
          <w:rFonts w:ascii="Arial" w:cs="Arial" w:eastAsia="Arial" w:hAnsi="Arial"/>
          <w:sz w:val="18"/>
          <w:szCs w:val="18"/>
          <w:color w:val="auto"/>
        </w:rPr>
        <w:t>In collaboration with Biogen, we continued to enroll the global Phase 2b</w:t>
      </w:r>
      <w:r>
        <w:rPr>
          <w:rFonts w:ascii="Arial" w:cs="Arial" w:eastAsia="Arial" w:hAnsi="Arial"/>
          <w:sz w:val="18"/>
          <w:szCs w:val="18"/>
          <w:b w:val="1"/>
          <w:bCs w:val="1"/>
          <w:color w:val="auto"/>
        </w:rPr>
        <w:t xml:space="preserve"> </w:t>
      </w:r>
      <w:r>
        <w:rPr>
          <w:rFonts w:ascii="Arial" w:cs="Arial" w:eastAsia="Arial" w:hAnsi="Arial"/>
          <w:sz w:val="18"/>
          <w:szCs w:val="18"/>
          <w:color w:val="auto"/>
        </w:rPr>
        <w:t>LUMA study evaluating BIIB122 in early-stage Parkinson's disease. In addition, we executed a Collaboration and Development Funding Agreement with a third party including committed funding of $75.0 million, and we initiated the related global Phase 2a BEACON study to evaluate safety and biomarkers associated with BIIB122 in participants with LRRK2-associated Parkinson’s disease (LRRK2-PD).</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DNL343 (eIF2B agonist) for amyotrophic lateral sclerosis (ALS): </w:t>
      </w:r>
      <w:r>
        <w:rPr>
          <w:rFonts w:ascii="Arial" w:cs="Arial" w:eastAsia="Arial" w:hAnsi="Arial"/>
          <w:sz w:val="18"/>
          <w:szCs w:val="18"/>
          <w:color w:val="auto"/>
        </w:rPr>
        <w:t>The Sean M. Healey &amp; AMG Center for ALS at Massachusetts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 ("MGH") in collaboration with the Northeast ALS Consortium ("NEALS") completed enrollment in Regimen G (DNL343) of the Phase 2/3 HEALEY ALS Platform Trial.</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SAR443820/DNL788 (CNS-penetrant RIPK1 inhibitor): </w:t>
      </w:r>
      <w:r>
        <w:rPr>
          <w:rFonts w:ascii="Arial" w:cs="Arial" w:eastAsia="Arial" w:hAnsi="Arial"/>
          <w:sz w:val="18"/>
          <w:szCs w:val="18"/>
          <w:color w:val="auto"/>
        </w:rPr>
        <w:t>Our partner Sanofi provided topline results that the primary endpoints were not met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Phase 2 HIMALAYA study in ALS and the Phase 2 K2 study in multiple sclerosis.</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 xml:space="preserve">SAR443122/DNL758 (peripherally restricted RIPK1 inhibitor): </w:t>
      </w:r>
      <w:r>
        <w:rPr>
          <w:rFonts w:ascii="Arial" w:cs="Arial" w:eastAsia="Arial" w:hAnsi="Arial"/>
          <w:sz w:val="18"/>
          <w:szCs w:val="18"/>
          <w:color w:val="auto"/>
        </w:rPr>
        <w:t>Our partner Sanofi continued to enroll a Phase 2 study of SAR443122 for</w:t>
      </w:r>
      <w:r>
        <w:rPr>
          <w:rFonts w:ascii="Arial" w:cs="Arial" w:eastAsia="Arial" w:hAnsi="Arial"/>
          <w:sz w:val="18"/>
          <w:szCs w:val="18"/>
          <w:b w:val="1"/>
          <w:bCs w:val="1"/>
          <w:color w:val="auto"/>
        </w:rPr>
        <w:t xml:space="preserve"> </w:t>
      </w:r>
      <w:r>
        <w:rPr>
          <w:rFonts w:ascii="Arial" w:cs="Arial" w:eastAsia="Arial" w:hAnsi="Arial"/>
          <w:sz w:val="18"/>
          <w:szCs w:val="18"/>
          <w:color w:val="auto"/>
        </w:rPr>
        <w:t>ulcerative colitis.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0" w:lineRule="exact"/>
        <w:rPr>
          <w:sz w:val="20"/>
          <w:szCs w:val="20"/>
          <w:color w:val="auto"/>
        </w:rPr>
      </w:pPr>
    </w:p>
    <w:p>
      <w:pPr>
        <w:ind w:left="660" w:right="120" w:hanging="328"/>
        <w:spacing w:after="0" w:line="262"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I</w:t>
      </w:r>
      <w:r>
        <w:rPr>
          <w:rFonts w:ascii="Arial" w:cs="Arial" w:eastAsia="Arial" w:hAnsi="Arial"/>
          <w:sz w:val="18"/>
          <w:szCs w:val="18"/>
          <w:color w:val="auto"/>
        </w:rPr>
        <w:t>n January 2024, we announced our intention to divest our preclinical small molecule portfolio, which was completed effective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March 1, 2024. We maintain ownership of, and continue to advance, our current portfolio of clinical stage small molecule programs, in collaboration with our partners. The decision was made based on clinical validation and prioritization of our TV-enabled platforms for brain delivery of large molecules;</w:t>
      </w:r>
    </w:p>
    <w:p>
      <w:pPr>
        <w:spacing w:after="0" w:line="201" w:lineRule="exact"/>
        <w:rPr>
          <w:rFonts w:ascii="Arial" w:cs="Arial" w:eastAsia="Arial" w:hAnsi="Arial"/>
          <w:sz w:val="18"/>
          <w:szCs w:val="18"/>
          <w:color w:val="auto"/>
        </w:rPr>
      </w:pPr>
    </w:p>
    <w:p>
      <w:pPr>
        <w:ind w:left="660" w:right="20" w:hanging="328"/>
        <w:spacing w:after="0" w:line="27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February 2024, we announced that we entered into a securities purchase agreement with certain existing accredited investors for the private placement of 3,244,689 shares of our common stock at a price of $17.07 per share and pre-funded warrants to purchase an aggregate of 26,046,065 shares of our common stock at a purchase price of $17.06 per pre-funded warrant, resulting in net proceeds of approximately $499.3 million. The pre-funded warrants have an exercise price of $0.01 per share of Common Stock and are immediately exercisable and will remain exercisable until exercised in full. The private placement closed on February 29, 2024;</w:t>
      </w:r>
    </w:p>
    <w:p>
      <w:pPr>
        <w:spacing w:after="0" w:line="190" w:lineRule="exact"/>
        <w:rPr>
          <w:rFonts w:ascii="Arial" w:cs="Arial" w:eastAsia="Arial" w:hAnsi="Arial"/>
          <w:sz w:val="17"/>
          <w:szCs w:val="17"/>
          <w:color w:val="auto"/>
        </w:rPr>
      </w:pPr>
    </w:p>
    <w:p>
      <w:pPr>
        <w:ind w:left="660" w:right="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July 2024, Biogen terminated its license to the ATV:Abeta program enabled by our TfR-targeting technology against amyloid beta for the potential treatment of Alzheimer's disease and granted us rights to data generated during the collaboration. As a result of the termination, all rights to develop, manufacture, perform medical affairs activities, and commercialize new TfR-targeting ATV:Abeta therapeutics reverted to us. Biogen licensed our TfR-targeting ATV:Abeta program in April 2023 having exercised an option that was part of the 2020 collaboration agreement between the two companies. Biogen’s decision was not related to any efficacy or safety concerns with the TV platform.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Compensation Highlights</w:t>
      </w:r>
    </w:p>
    <w:p>
      <w:pPr>
        <w:spacing w:after="0" w:line="250"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Consistent with our compensation philosophy focusing on pay for performance, our compensation committee structured executive pay in 2024 to ensure alignment with the interests of our stockholders while incentivizing the pursuit of important strategic business goals. Highlights include:</w:t>
      </w:r>
    </w:p>
    <w:p>
      <w:pPr>
        <w:spacing w:after="0" w:line="198" w:lineRule="exact"/>
        <w:rPr>
          <w:sz w:val="20"/>
          <w:szCs w:val="20"/>
          <w:color w:val="auto"/>
        </w:rPr>
      </w:pPr>
    </w:p>
    <w:p>
      <w:pPr>
        <w:ind w:left="660" w:right="108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Base salaries </w:t>
      </w:r>
      <w:r>
        <w:rPr>
          <w:rFonts w:ascii="Arial" w:cs="Arial" w:eastAsia="Arial" w:hAnsi="Arial"/>
          <w:sz w:val="18"/>
          <w:szCs w:val="18"/>
          <w:color w:val="auto"/>
        </w:rPr>
        <w:t>– We made moderate adjustments to 2024 base salaries of our executives based on our review of roles,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and market practices;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hanging="328"/>
        <w:spacing w:after="0" w:line="291"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Annual bonuses </w:t>
      </w:r>
      <w:r>
        <w:rPr>
          <w:rFonts w:ascii="Arial" w:cs="Arial" w:eastAsia="Arial" w:hAnsi="Arial"/>
          <w:sz w:val="17"/>
          <w:szCs w:val="17"/>
          <w:color w:val="auto"/>
        </w:rPr>
        <w:t>– Our annual bonus incentives were based on metrics and milestones pertaining to critical measures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strategy as well as drivers of our long-term goal of creating stockholder value. In 2024 we met 5 out of 6 (83%) high-impact objective goals and 15 out of 17 (88%) of our other objective goals. This resulted in an annual bonus paid out at 140% of target; and</w:t>
      </w:r>
    </w:p>
    <w:p>
      <w:pPr>
        <w:spacing w:after="0" w:line="179" w:lineRule="exact"/>
        <w:rPr>
          <w:rFonts w:ascii="Arial" w:cs="Arial" w:eastAsia="Arial" w:hAnsi="Arial"/>
          <w:sz w:val="17"/>
          <w:szCs w:val="17"/>
          <w:color w:val="auto"/>
        </w:rPr>
      </w:pPr>
    </w:p>
    <w:p>
      <w:pPr>
        <w:ind w:left="660" w:right="8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Equity grants </w:t>
      </w:r>
      <w:r>
        <w:rPr>
          <w:rFonts w:ascii="Arial" w:cs="Arial" w:eastAsia="Arial" w:hAnsi="Arial"/>
          <w:sz w:val="18"/>
          <w:szCs w:val="18"/>
          <w:color w:val="auto"/>
        </w:rPr>
        <w:t>– Consistent with our granting practices of recent years, we granted stock options and restricted stock units ("RSUs")</w:t>
      </w:r>
      <w:r>
        <w:rPr>
          <w:rFonts w:ascii="Arial" w:cs="Arial" w:eastAsia="Arial" w:hAnsi="Arial"/>
          <w:sz w:val="18"/>
          <w:szCs w:val="18"/>
          <w:b w:val="1"/>
          <w:bCs w:val="1"/>
          <w:color w:val="auto"/>
        </w:rPr>
        <w:t xml:space="preserve"> </w:t>
      </w:r>
      <w:r>
        <w:rPr>
          <w:rFonts w:ascii="Arial" w:cs="Arial" w:eastAsia="Arial" w:hAnsi="Arial"/>
          <w:sz w:val="18"/>
          <w:szCs w:val="18"/>
          <w:color w:val="auto"/>
        </w:rPr>
        <w:t>to our executive officers in 2024 to motivate and retain our executives, while aligning their interests with those of our long-term stockholders.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to Pay For Performance</w:t>
      </w:r>
    </w:p>
    <w:p>
      <w:pPr>
        <w:spacing w:after="0" w:line="250" w:lineRule="exact"/>
        <w:rPr>
          <w:sz w:val="20"/>
          <w:szCs w:val="20"/>
          <w:color w:val="auto"/>
        </w:rPr>
      </w:pPr>
    </w:p>
    <w:p>
      <w:pPr>
        <w:ind w:right="660" w:firstLine="486"/>
        <w:spacing w:after="0" w:line="287" w:lineRule="auto"/>
        <w:rPr>
          <w:sz w:val="20"/>
          <w:szCs w:val="20"/>
          <w:color w:val="auto"/>
        </w:rPr>
      </w:pPr>
      <w:r>
        <w:rPr>
          <w:rFonts w:ascii="Arial" w:cs="Arial" w:eastAsia="Arial" w:hAnsi="Arial"/>
          <w:sz w:val="18"/>
          <w:szCs w:val="18"/>
          <w:color w:val="auto"/>
        </w:rPr>
        <w:t>Our pay program focuses on rewarding executives while keeping a significant portion of compensation at-risk. We consider the compensation mix, including the mix of variable and fixed pay as well as how much compensation is long-term oriented.</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Pay</w:t>
      </w:r>
    </w:p>
    <w:p>
      <w:pPr>
        <w:spacing w:after="0" w:line="25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compensation committee uses its discretion in determining the appropriate mix of fixed and variable compensation for each NEO. The chosen compensation vehicles include short-term and long-term incentives, and cash and equity compensation. The balance between these components may change from year to year based on corporate strategy and objectives, among other considerations. Our target total compensation mix shown below is as reported in the summary compensation table and consists of base salary, actual bonus paid and the grant date fair value of equity awards, which includes stock options and RSUs. For 2024, our CEO and NEOs had the following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1577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Note: NEO Target Pay Mix only includes executives who served for the entirety of the past fiscal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Aligned with Performance</w:t>
      </w:r>
    </w:p>
    <w:p>
      <w:pPr>
        <w:spacing w:after="0" w:line="250" w:lineRule="exact"/>
        <w:rPr>
          <w:sz w:val="20"/>
          <w:szCs w:val="20"/>
          <w:color w:val="auto"/>
        </w:rPr>
      </w:pPr>
    </w:p>
    <w:p>
      <w:pPr>
        <w:ind w:right="160" w:firstLine="486"/>
        <w:spacing w:after="0" w:line="287" w:lineRule="auto"/>
        <w:rPr>
          <w:sz w:val="20"/>
          <w:szCs w:val="20"/>
          <w:color w:val="auto"/>
        </w:rPr>
      </w:pPr>
      <w:r>
        <w:rPr>
          <w:rFonts w:ascii="Arial" w:cs="Arial" w:eastAsia="Arial" w:hAnsi="Arial"/>
          <w:sz w:val="18"/>
          <w:szCs w:val="18"/>
          <w:color w:val="auto"/>
        </w:rPr>
        <w:t>The magnitude of CEO compensation is directly aligned with our Company performance through the relationship between stock price and the grant date fair value of equity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Say-on-Pay Results and Stockholder Engagement</w:t>
      </w:r>
    </w:p>
    <w:p>
      <w:pPr>
        <w:spacing w:after="0" w:line="250"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At our 2024 annual meeting, our advisory vote on executive compensation (commonly referred to as a “say-on-pay” vote), received the support of approximately 92.2% of the shares voted. The compensation committee believes this vote demonstrated our stockholders’ positive view of our pay-for-performance philosophy and the appropriateness of our executive compensation structure. Therefore, the compensation committee did not make any changes to our compensation program directly as a result of the say-on-pay vote result.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right="100" w:firstLine="486"/>
        <w:spacing w:after="0" w:line="268" w:lineRule="auto"/>
        <w:rPr>
          <w:sz w:val="20"/>
          <w:szCs w:val="20"/>
          <w:color w:val="auto"/>
        </w:rPr>
      </w:pPr>
      <w:r>
        <w:rPr>
          <w:rFonts w:ascii="Arial" w:cs="Arial" w:eastAsia="Arial" w:hAnsi="Arial"/>
          <w:sz w:val="18"/>
          <w:szCs w:val="18"/>
          <w:color w:val="auto"/>
        </w:rPr>
        <w:t>While pleased with the vote result, the Company continues to be committed to engaging with stockholders. We review any feedback we receive from our stockholders about our executive compensation program to ensure that we understand key matters of interest to them, and to enable us to take that feedback into consideration for our compensation decisions.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5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compensation committee believes a well-designed compensation program should align executive interests with the drivers of growth and stockholder returns by supporting the Company’s achievement of its primary business goals, and the Company’s ability to attract and retain employees whose talents, expertise, leadership, and contributions are expected to sustain growth in long-term stockholder value. Consequently, we maintain an ongoing commitment to corporate governance principles and strong performance orientation in our compensation program. Our compensation committee regularly reviews our compensation policies and program design overall, to ensure that they are aligned with the interests of our stockholders and our business goals, and that the total compensation paid to our employees and directors is fair, reasonable and competitive.</w:t>
      </w:r>
    </w:p>
    <w:p>
      <w:pPr>
        <w:spacing w:after="0" w:line="21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Over time, we have made gradual changes to our executive compensation program to adopt practices that are appropriate for the Company given our business, industry, growth and other factors. Our compensation committee and board of directors believe it appropriate to continue to fine tune our executive compensation program but generally have avoided dramatic changes since we became a publicly traded Company. We engaged an independent compensation consultant prior to our initial public offering to assist our compensation committee in determining executive compensation and have continued to work with an independent compensation consultant to review and update our executive compensation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 and Board of Directors</w:t>
      </w:r>
    </w:p>
    <w:p>
      <w:pPr>
        <w:spacing w:after="0" w:line="25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 xml:space="preserve">Our compensation committee is responsible for overseeing the total compensation of our executive officers. In this capacity, our compensation committee designs, implements, reviews and approves all compensation for our Chief Executive Officer and our other executive officers. The compensation committee formally met three times during fiscal year 2024, and also met informally on several occasions, to review and discuss matters related to compensation of our employees and executive officers. Some of these meetings (or portions of these meetings) were held with members of management in attendance and some (or portions of these meetings) were held in closed session. Most of the meetings also included representatives from our compensation consultant (as described below). Typically, the compensation committee reports to the Board on its discussions and on occasion recommends to the Board, or seeks input from the Board regarding, the decisions to be made and other actions to be taken with regard to our executive officers’ compensation. Our compensation committee’s recommendations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typically makes the final decisions regarding executive compensation. </w:t>
      </w:r>
      <w:r>
        <w:rPr>
          <w:rFonts w:ascii="Arial" w:cs="Arial" w:eastAsia="Arial" w:hAnsi="Arial"/>
          <w:sz w:val="18"/>
          <w:szCs w:val="18"/>
          <w:i w:val="1"/>
          <w:iCs w:val="1"/>
          <w:color w:val="auto"/>
        </w:rPr>
        <w:t>Role of Management</w:t>
      </w:r>
    </w:p>
    <w:p>
      <w:pPr>
        <w:spacing w:after="0" w:line="21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Our CEO and Chief People Officer (“CPO”) typically make recommendations to our compensation committee, attend certain compensation committee meetings and are involved in the process for determining our executive officers’ compensation, provided that our CEO and CPO do not make recommendations as to their own compensation or participates in compensation committee discussion of their own compensation. Our compensation committee considers management’s recommendations but is not required to follow any recommendations and may adjust compensation up or down at its discretion. Our compensation committee reviews the recommendations and other data and makes recommendations to the Board as to each executive officer’s total compensation, as well as each individual pay component.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Independent Compensation Consultant</w:t>
      </w:r>
    </w:p>
    <w:p>
      <w:pPr>
        <w:spacing w:after="0" w:line="250" w:lineRule="exact"/>
        <w:rPr>
          <w:sz w:val="20"/>
          <w:szCs w:val="20"/>
          <w:color w:val="auto"/>
        </w:rPr>
      </w:pPr>
    </w:p>
    <w:p>
      <w:pPr>
        <w:ind w:right="320" w:firstLine="486"/>
        <w:spacing w:after="0" w:line="287" w:lineRule="auto"/>
        <w:rPr>
          <w:sz w:val="20"/>
          <w:szCs w:val="20"/>
          <w:color w:val="auto"/>
        </w:rPr>
      </w:pPr>
      <w:r>
        <w:rPr>
          <w:rFonts w:ascii="Arial" w:cs="Arial" w:eastAsia="Arial" w:hAnsi="Arial"/>
          <w:sz w:val="18"/>
          <w:szCs w:val="18"/>
          <w:color w:val="auto"/>
        </w:rPr>
        <w:t>The compensation committee has authority to appoint and retain a compensation consultant. The fees for services rendered by the compensation consultant are paid by the Company.</w:t>
      </w:r>
    </w:p>
    <w:p>
      <w:pPr>
        <w:spacing w:after="0" w:line="180" w:lineRule="exact"/>
        <w:rPr>
          <w:sz w:val="20"/>
          <w:szCs w:val="20"/>
          <w:color w:val="auto"/>
        </w:rPr>
      </w:pPr>
    </w:p>
    <w:p>
      <w:pPr>
        <w:jc w:val="both"/>
        <w:ind w:right="420" w:firstLine="486"/>
        <w:spacing w:after="0" w:line="268" w:lineRule="auto"/>
        <w:rPr>
          <w:sz w:val="20"/>
          <w:szCs w:val="20"/>
          <w:color w:val="auto"/>
        </w:rPr>
      </w:pPr>
      <w:r>
        <w:rPr>
          <w:rFonts w:ascii="Arial" w:cs="Arial" w:eastAsia="Arial" w:hAnsi="Arial"/>
          <w:sz w:val="18"/>
          <w:szCs w:val="18"/>
          <w:color w:val="auto"/>
        </w:rPr>
        <w:t>Beginning in September 2022, the compensation committee engaged Alpine Rewards (“Alpine”) as its independent compensation consultant. Alpine has helped to further develop our compensation programs and has advised the compensation committee on all of the principal aspects of executive compensation.</w:t>
      </w:r>
    </w:p>
    <w:p>
      <w:pPr>
        <w:spacing w:after="0" w:line="198" w:lineRule="exact"/>
        <w:rPr>
          <w:sz w:val="20"/>
          <w:szCs w:val="20"/>
          <w:color w:val="auto"/>
        </w:rPr>
      </w:pPr>
    </w:p>
    <w:p>
      <w:pPr>
        <w:ind w:right="80" w:firstLine="486"/>
        <w:spacing w:after="0" w:line="268" w:lineRule="auto"/>
        <w:rPr>
          <w:sz w:val="20"/>
          <w:szCs w:val="20"/>
          <w:color w:val="auto"/>
        </w:rPr>
      </w:pPr>
      <w:r>
        <w:rPr>
          <w:rFonts w:ascii="Arial" w:cs="Arial" w:eastAsia="Arial" w:hAnsi="Arial"/>
          <w:sz w:val="18"/>
          <w:szCs w:val="18"/>
          <w:color w:val="auto"/>
        </w:rPr>
        <w:t>Alpine reports directly to our compensation committee and not to management, although Alpine meets with management for purposes of gathering information for its analyses and recommendations. Our compensation committee assessed the independence of Alpine consistent with Nasdaq listing standards and concluded that neither engagement raised or raises any conflict of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a Peer Group</w:t>
      </w:r>
    </w:p>
    <w:p>
      <w:pPr>
        <w:spacing w:after="0" w:line="25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compensation committee approves a peer group of companies as a reference group to provide a broad perspective on competitive pay levels and practices. The peers are reviewed on an annual basis in light of the fast-moving changes at Denali and our industry. In August 2023, we undertook this review for use in making 2024 compensation decisions, with the assistance and recommendations of Alpine, the compensation committee’s compensation consultant. The compensation committee used the following criteria in determining the appropriate peers:</w:t>
      </w:r>
    </w:p>
    <w:p>
      <w:pPr>
        <w:spacing w:after="0" w:line="206" w:lineRule="exact"/>
        <w:rPr>
          <w:sz w:val="20"/>
          <w:szCs w:val="20"/>
          <w:color w:val="auto"/>
        </w:rPr>
      </w:pPr>
    </w:p>
    <w:p>
      <w:pPr>
        <w:ind w:left="660" w:right="20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Industry Sector and Stage </w:t>
      </w:r>
      <w:r>
        <w:rPr>
          <w:rFonts w:ascii="Arial" w:cs="Arial" w:eastAsia="Arial" w:hAnsi="Arial"/>
          <w:sz w:val="18"/>
          <w:szCs w:val="18"/>
          <w:color w:val="auto"/>
        </w:rPr>
        <w:t>– US-based, publicly traded late stage, pre-commercial stage biopharmaceutical companies and early</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companies, where applicable, with a focus on companies with similar therapeutic focus to Denali</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 Range of $1.5 billion to $12.0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 Biotechnology hub markets (San Francisco Bay Area, San Diego, Boston, etc.)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Headcount </w:t>
      </w:r>
      <w:r>
        <w:rPr>
          <w:rFonts w:ascii="Arial" w:cs="Arial" w:eastAsia="Arial" w:hAnsi="Arial"/>
          <w:sz w:val="18"/>
          <w:szCs w:val="18"/>
          <w:color w:val="auto"/>
        </w:rPr>
        <w:t>– Companies with above 200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Peer Group</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Based on these criteria and considerations, our 2024 peer group was determined to consist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189230</wp:posOffset>
            </wp:positionV>
            <wp:extent cx="8890" cy="130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303020"/>
                    </a:xfrm>
                    <a:prstGeom prst="rect">
                      <a:avLst/>
                    </a:prstGeom>
                    <a:noFill/>
                  </pic:spPr>
                </pic:pic>
              </a:graphicData>
            </a:graphic>
          </wp:anchor>
        </w:drawing>
      </w:r>
    </w:p>
    <w:p>
      <w:pPr>
        <w:spacing w:after="0" w:line="278" w:lineRule="exact"/>
        <w:rPr>
          <w:sz w:val="20"/>
          <w:szCs w:val="20"/>
          <w:color w:val="auto"/>
        </w:rPr>
      </w:pPr>
    </w:p>
    <w:tbl>
      <w:tblPr>
        <w:tblLayout w:type="fixed"/>
        <w:tblInd w:w="720" w:type="dxa"/>
        <w:tblCellMar>
          <w:top w:w="0" w:type="dxa"/>
          <w:left w:w="0" w:type="dxa"/>
          <w:bottom w:w="0" w:type="dxa"/>
          <w:right w:w="0" w:type="dxa"/>
        </w:tblCellMar>
      </w:tblPr>
      <w:tr>
        <w:trPr>
          <w:trHeight w:val="259"/>
        </w:trPr>
        <w:tc>
          <w:tcPr>
            <w:tcW w:w="308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Agios Pharmaceuticals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CRISPR Therapeutics</w:t>
            </w:r>
          </w:p>
        </w:tc>
        <w:tc>
          <w:tcPr>
            <w:tcW w:w="2900" w:type="dxa"/>
            <w:vAlign w:val="bottom"/>
          </w:tcPr>
          <w:p>
            <w:pPr>
              <w:jc w:val="center"/>
              <w:ind w:left="650"/>
              <w:spacing w:after="0"/>
              <w:rPr>
                <w:sz w:val="20"/>
                <w:szCs w:val="20"/>
                <w:color w:val="auto"/>
              </w:rPr>
            </w:pPr>
            <w:r>
              <w:rPr>
                <w:rFonts w:ascii="Arial" w:cs="Arial" w:eastAsia="Arial" w:hAnsi="Arial"/>
                <w:sz w:val="18"/>
                <w:szCs w:val="18"/>
                <w:color w:val="auto"/>
                <w:w w:val="99"/>
              </w:rPr>
              <w:t>Prothena Corporation</w:t>
            </w:r>
          </w:p>
        </w:tc>
      </w:tr>
      <w:tr>
        <w:trPr>
          <w:trHeight w:val="245"/>
        </w:trPr>
        <w:tc>
          <w:tcPr>
            <w:tcW w:w="308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rPr>
              <w:t>Alector Therapeutics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Cytokinetics</w:t>
            </w:r>
          </w:p>
        </w:tc>
        <w:tc>
          <w:tcPr>
            <w:tcW w:w="2900" w:type="dxa"/>
            <w:vAlign w:val="bottom"/>
          </w:tcPr>
          <w:p>
            <w:pPr>
              <w:jc w:val="center"/>
              <w:ind w:left="650"/>
              <w:spacing w:after="0"/>
              <w:rPr>
                <w:sz w:val="20"/>
                <w:szCs w:val="20"/>
                <w:color w:val="auto"/>
              </w:rPr>
            </w:pPr>
            <w:r>
              <w:rPr>
                <w:rFonts w:ascii="Arial" w:cs="Arial" w:eastAsia="Arial" w:hAnsi="Arial"/>
                <w:sz w:val="18"/>
                <w:szCs w:val="18"/>
                <w:color w:val="auto"/>
              </w:rPr>
              <w:t>REGENXBIO</w:t>
            </w:r>
          </w:p>
        </w:tc>
      </w:tr>
      <w:tr>
        <w:trPr>
          <w:trHeight w:val="257"/>
        </w:trPr>
        <w:tc>
          <w:tcPr>
            <w:tcW w:w="308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Amylyx Pharmaceuticals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Intellia Therapeutics</w:t>
            </w:r>
          </w:p>
        </w:tc>
        <w:tc>
          <w:tcPr>
            <w:tcW w:w="2900" w:type="dxa"/>
            <w:vAlign w:val="bottom"/>
          </w:tcPr>
          <w:p>
            <w:pPr>
              <w:jc w:val="center"/>
              <w:ind w:left="650"/>
              <w:spacing w:after="0"/>
              <w:rPr>
                <w:sz w:val="20"/>
                <w:szCs w:val="20"/>
                <w:color w:val="auto"/>
              </w:rPr>
            </w:pPr>
            <w:r>
              <w:rPr>
                <w:rFonts w:ascii="Arial" w:cs="Arial" w:eastAsia="Arial" w:hAnsi="Arial"/>
                <w:sz w:val="18"/>
                <w:szCs w:val="18"/>
                <w:color w:val="auto"/>
              </w:rPr>
              <w:t>Sage Therapeutics</w:t>
            </w:r>
          </w:p>
        </w:tc>
      </w:tr>
      <w:tr>
        <w:trPr>
          <w:trHeight w:val="256"/>
        </w:trPr>
        <w:tc>
          <w:tcPr>
            <w:tcW w:w="308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Arcus Biosciences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Intra-Cellular Therapies</w:t>
            </w:r>
          </w:p>
        </w:tc>
        <w:tc>
          <w:tcPr>
            <w:tcW w:w="2900" w:type="dxa"/>
            <w:vAlign w:val="bottom"/>
          </w:tcPr>
          <w:p>
            <w:pPr>
              <w:jc w:val="center"/>
              <w:ind w:left="650"/>
              <w:spacing w:after="0"/>
              <w:rPr>
                <w:sz w:val="20"/>
                <w:szCs w:val="20"/>
                <w:color w:val="auto"/>
              </w:rPr>
            </w:pPr>
            <w:r>
              <w:rPr>
                <w:rFonts w:ascii="Arial" w:cs="Arial" w:eastAsia="Arial" w:hAnsi="Arial"/>
                <w:sz w:val="18"/>
                <w:szCs w:val="18"/>
                <w:color w:val="auto"/>
                <w:w w:val="99"/>
              </w:rPr>
              <w:t>Sarepta Therapeutics</w:t>
            </w:r>
          </w:p>
        </w:tc>
      </w:tr>
      <w:tr>
        <w:trPr>
          <w:trHeight w:val="257"/>
        </w:trPr>
        <w:tc>
          <w:tcPr>
            <w:tcW w:w="308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Axsome Therapeutics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Ionis Pharmaceuticals</w:t>
            </w:r>
          </w:p>
        </w:tc>
        <w:tc>
          <w:tcPr>
            <w:tcW w:w="2900" w:type="dxa"/>
            <w:vAlign w:val="bottom"/>
          </w:tcPr>
          <w:p>
            <w:pPr>
              <w:jc w:val="center"/>
              <w:ind w:left="650"/>
              <w:spacing w:after="0"/>
              <w:rPr>
                <w:sz w:val="20"/>
                <w:szCs w:val="20"/>
                <w:color w:val="auto"/>
              </w:rPr>
            </w:pPr>
            <w:r>
              <w:rPr>
                <w:rFonts w:ascii="Arial" w:cs="Arial" w:eastAsia="Arial" w:hAnsi="Arial"/>
                <w:sz w:val="18"/>
                <w:szCs w:val="18"/>
                <w:color w:val="auto"/>
              </w:rPr>
              <w:t>Ultragenyx Pharmaceutical</w:t>
            </w:r>
          </w:p>
        </w:tc>
      </w:tr>
      <w:tr>
        <w:trPr>
          <w:trHeight w:val="256"/>
        </w:trPr>
        <w:tc>
          <w:tcPr>
            <w:tcW w:w="308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Beam Therapeutics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Karuna Therapeutics</w:t>
            </w:r>
          </w:p>
        </w:tc>
        <w:tc>
          <w:tcPr>
            <w:tcW w:w="2900" w:type="dxa"/>
            <w:vAlign w:val="bottom"/>
          </w:tcPr>
          <w:p>
            <w:pPr>
              <w:jc w:val="center"/>
              <w:ind w:left="630"/>
              <w:spacing w:after="0"/>
              <w:rPr>
                <w:sz w:val="20"/>
                <w:szCs w:val="20"/>
                <w:color w:val="auto"/>
              </w:rPr>
            </w:pPr>
            <w:r>
              <w:rPr>
                <w:rFonts w:ascii="Arial" w:cs="Arial" w:eastAsia="Arial" w:hAnsi="Arial"/>
                <w:sz w:val="18"/>
                <w:szCs w:val="18"/>
                <w:color w:val="auto"/>
                <w:w w:val="96"/>
              </w:rPr>
              <w:t>Vaxcyte</w:t>
            </w:r>
          </w:p>
        </w:tc>
      </w:tr>
      <w:tr>
        <w:trPr>
          <w:trHeight w:val="257"/>
        </w:trPr>
        <w:tc>
          <w:tcPr>
            <w:tcW w:w="308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BridgeBio Pharma</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Legend Biotech Corp.</w:t>
            </w:r>
          </w:p>
        </w:tc>
        <w:tc>
          <w:tcPr>
            <w:tcW w:w="2900" w:type="dxa"/>
            <w:vAlign w:val="bottom"/>
          </w:tcPr>
          <w:p>
            <w:pPr>
              <w:jc w:val="center"/>
              <w:ind w:left="650"/>
              <w:spacing w:after="0"/>
              <w:rPr>
                <w:sz w:val="20"/>
                <w:szCs w:val="20"/>
                <w:color w:val="auto"/>
              </w:rPr>
            </w:pPr>
            <w:r>
              <w:rPr>
                <w:rFonts w:ascii="Arial" w:cs="Arial" w:eastAsia="Arial" w:hAnsi="Arial"/>
                <w:sz w:val="18"/>
                <w:szCs w:val="18"/>
                <w:color w:val="auto"/>
                <w:w w:val="99"/>
              </w:rPr>
              <w:t>Vir Biotechnology</w:t>
            </w:r>
          </w:p>
        </w:tc>
      </w:tr>
      <w:tr>
        <w:trPr>
          <w:trHeight w:val="266"/>
        </w:trPr>
        <w:tc>
          <w:tcPr>
            <w:tcW w:w="308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Cerevel Therapeutics Holdings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Mirati Therapeutics</w:t>
            </w:r>
          </w:p>
        </w:tc>
        <w:tc>
          <w:tcPr>
            <w:tcW w:w="2900" w:type="dxa"/>
            <w:vAlign w:val="bottom"/>
          </w:tcPr>
          <w:p>
            <w:pPr>
              <w:spacing w:after="0"/>
              <w:rPr>
                <w:sz w:val="23"/>
                <w:szCs w:val="23"/>
                <w:color w:val="auto"/>
              </w:rPr>
            </w:pPr>
          </w:p>
        </w:tc>
      </w:tr>
    </w:tbl>
    <w:p>
      <w:pPr>
        <w:spacing w:after="0" w:line="25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a result of the determination of the 2024 peer group based on the revised criteria, thirteen companies that had been included in the 2023 peer group were removed as they no longer met the criteria listed above: Allogene Therapeutics, Arvinas, Fate Therapeutics, Global Blood Therapeutics, NGM Biopharmaceuticals, Reata Pharmaceuticals, and Verve Therapeutics. The Committee added the following companies to the 2024 peer group: Amylyx Pharmaceuticals, Axsome Therapeutics, BridgeBio Pharma, Intra-Cellular Therapies, Prothena Corporation, and Vaxcyte.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Peer Group</w:t>
      </w:r>
    </w:p>
    <w:p>
      <w:pPr>
        <w:spacing w:after="0" w:line="250" w:lineRule="exact"/>
        <w:rPr>
          <w:sz w:val="20"/>
          <w:szCs w:val="20"/>
          <w:color w:val="auto"/>
        </w:rPr>
      </w:pPr>
    </w:p>
    <w:p>
      <w:pPr>
        <w:ind w:right="380" w:firstLine="486"/>
        <w:spacing w:after="0" w:line="268" w:lineRule="auto"/>
        <w:rPr>
          <w:sz w:val="20"/>
          <w:szCs w:val="20"/>
          <w:color w:val="auto"/>
        </w:rPr>
      </w:pPr>
      <w:r>
        <w:rPr>
          <w:rFonts w:ascii="Arial" w:cs="Arial" w:eastAsia="Arial" w:hAnsi="Arial"/>
          <w:sz w:val="18"/>
          <w:szCs w:val="18"/>
          <w:color w:val="auto"/>
        </w:rPr>
        <w:t>In August 2024, the compensation committee approved the peer group for use in making 2025 compensation decisions. Due to changes in the Company’s profile, the Committee made updates to the peer selection criteria related to market capitalization, headcount, sector and stage, as well as consideration for recent acquisitions.</w:t>
      </w:r>
    </w:p>
    <w:p>
      <w:pPr>
        <w:spacing w:after="0" w:line="13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setting compensation for our executive officers, including our NEOs, the compensation committee uses competitive compensation data from an annual total compensation study of selected peer companies and relevant survey sources to inform its decisions about overall compensation opportunities and specific compensation elements. However, the compensation committee uses our compensation peer group as one data point when setting executive pay packages. The compensation philosophy focuses at or near a target percentile for base salary, particularly in respect to target cash compensation and equity grants. In addition, our compensation decisions are based on the consideration of many factors, including, but not limited to, individual and Company performance, market data, internal equity, experience, and strategic needs. As a result of evaluating compensation based on the criteria described above, total target compensation for our NEOs may in certain circumstances be above or below the median levels of the peer group.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Components</w:t>
      </w:r>
    </w:p>
    <w:p>
      <w:pPr>
        <w:spacing w:after="0" w:line="250" w:lineRule="exact"/>
        <w:rPr>
          <w:sz w:val="20"/>
          <w:szCs w:val="20"/>
          <w:color w:val="auto"/>
        </w:rPr>
      </w:pPr>
    </w:p>
    <w:p>
      <w:pPr>
        <w:ind w:right="60" w:firstLine="486"/>
        <w:spacing w:after="0" w:line="287" w:lineRule="auto"/>
        <w:rPr>
          <w:sz w:val="20"/>
          <w:szCs w:val="20"/>
          <w:color w:val="auto"/>
        </w:rPr>
      </w:pPr>
      <w:r>
        <w:rPr>
          <w:rFonts w:ascii="Arial" w:cs="Arial" w:eastAsia="Arial" w:hAnsi="Arial"/>
          <w:sz w:val="18"/>
          <w:szCs w:val="18"/>
          <w:color w:val="auto"/>
        </w:rPr>
        <w:t>The Company’s executive compensation program consists of three primary elements: base salaries, annual cash incentives, and long-term equity awards:</w:t>
      </w:r>
    </w:p>
    <w:p>
      <w:pPr>
        <w:sectPr>
          <w:pgSz w:w="11900" w:h="16838" w:orient="portrait"/>
          <w:cols w:equalWidth="0" w:num="1">
            <w:col w:w="11240"/>
          </w:cols>
          <w:pgMar w:left="320" w:top="364"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08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Base Salary</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25031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 attract and retain highly skilled executives</w:t>
      </w:r>
    </w:p>
    <w:p>
      <w:pPr>
        <w:spacing w:after="0" w:line="200" w:lineRule="exact"/>
        <w:rPr>
          <w:sz w:val="20"/>
          <w:szCs w:val="20"/>
          <w:color w:val="auto"/>
        </w:rPr>
      </w:pPr>
    </w:p>
    <w:p>
      <w:pPr>
        <w:spacing w:after="0" w:line="295"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To promote and reward the achievement of key short-term strategic and business goals of the Company as well as individual performance; to motivate and attract executives</w:t>
      </w:r>
    </w:p>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encourage executives and other employees to focus on long-term company performance; to promote retention; to reward outstanding company and individual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29660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Fixed component of pay to provide financial stability, based on responsibilities, experience, individual contributions and peer company data</w:t>
      </w:r>
    </w:p>
    <w:p>
      <w:pPr>
        <w:spacing w:after="0" w:line="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Variable component of pay based on annual quantitative and qualitative performance assessment against objectives related to clinical testing, pipeline and functional goals</w:t>
      </w:r>
    </w:p>
    <w:p>
      <w:pPr>
        <w:spacing w:after="0" w:line="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Delivered in the form of stock options and RSUs, subject to multi-year vesting based on continued service. The value of these awards depends on the performance of our common stock price, which aligns employee and executive interests with those of our stockholders over the longer term</w:t>
      </w:r>
    </w:p>
    <w:p>
      <w:pPr>
        <w:spacing w:after="0" w:line="200" w:lineRule="exact"/>
        <w:rPr>
          <w:sz w:val="20"/>
          <w:szCs w:val="20"/>
          <w:color w:val="auto"/>
        </w:rPr>
      </w:pPr>
    </w:p>
    <w:p>
      <w:pPr>
        <w:sectPr>
          <w:pgSz w:w="11900" w:h="16838" w:orient="portrait"/>
          <w:cols w:equalWidth="0" w:num="3">
            <w:col w:w="2060" w:space="460"/>
            <w:col w:w="3780" w:space="280"/>
            <w:col w:w="4660"/>
          </w:cols>
          <w:pgMar w:left="320" w:top="364" w:right="339" w:bottom="1440" w:gutter="0" w:footer="0" w:header="0"/>
          <w:type w:val="continuous"/>
        </w:sectPr>
      </w:pPr>
    </w:p>
    <w:p>
      <w:pPr>
        <w:spacing w:after="0" w:line="63" w:lineRule="exact"/>
        <w:rPr>
          <w:sz w:val="20"/>
          <w:szCs w:val="20"/>
          <w:color w:val="auto"/>
        </w:rPr>
      </w:pPr>
    </w:p>
    <w:p>
      <w:pPr>
        <w:jc w:val="both"/>
        <w:ind w:right="40" w:firstLine="486"/>
        <w:spacing w:after="0" w:line="268" w:lineRule="auto"/>
        <w:rPr>
          <w:sz w:val="20"/>
          <w:szCs w:val="20"/>
          <w:color w:val="auto"/>
        </w:rPr>
      </w:pPr>
      <w:r>
        <w:rPr>
          <w:rFonts w:ascii="Arial" w:cs="Arial" w:eastAsia="Arial" w:hAnsi="Arial"/>
          <w:sz w:val="18"/>
          <w:szCs w:val="18"/>
          <w:color w:val="auto"/>
        </w:rPr>
        <w:t>Denali is committed to a strong performance orientation in our compensation program and effective corporate governance practices for a company at our development stage and industry. As such we routinely review our policies and program design. Some of our best practices in governance that we observe include: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What We Do</w:t>
      </w:r>
    </w:p>
    <w:p>
      <w:pPr>
        <w:spacing w:after="0" w:line="77" w:lineRule="exact"/>
        <w:rPr>
          <w:sz w:val="20"/>
          <w:szCs w:val="20"/>
          <w:color w:val="auto"/>
        </w:rPr>
      </w:pPr>
    </w:p>
    <w:p>
      <w:pPr>
        <w:ind w:left="580" w:hanging="31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 compensation with stockholder interests</w:t>
      </w:r>
    </w:p>
    <w:p>
      <w:pPr>
        <w:spacing w:after="0" w:line="31" w:lineRule="exact"/>
        <w:rPr>
          <w:rFonts w:ascii="Arial" w:cs="Arial" w:eastAsia="Arial" w:hAnsi="Arial"/>
          <w:sz w:val="18"/>
          <w:szCs w:val="18"/>
          <w:color w:val="auto"/>
        </w:rPr>
      </w:pPr>
    </w:p>
    <w:p>
      <w:pPr>
        <w:ind w:left="580" w:hanging="31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Balance pay mix of fixed and variable pay</w:t>
      </w:r>
    </w:p>
    <w:p>
      <w:pPr>
        <w:spacing w:after="0" w:line="22" w:lineRule="exact"/>
        <w:rPr>
          <w:rFonts w:ascii="Arial" w:cs="Arial" w:eastAsia="Arial" w:hAnsi="Arial"/>
          <w:sz w:val="18"/>
          <w:szCs w:val="18"/>
          <w:color w:val="auto"/>
        </w:rPr>
      </w:pPr>
    </w:p>
    <w:p>
      <w:pPr>
        <w:ind w:left="580" w:hanging="31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 pay with performance</w:t>
      </w:r>
    </w:p>
    <w:p>
      <w:pPr>
        <w:spacing w:after="0" w:line="22" w:lineRule="exact"/>
        <w:rPr>
          <w:rFonts w:ascii="Arial" w:cs="Arial" w:eastAsia="Arial" w:hAnsi="Arial"/>
          <w:sz w:val="18"/>
          <w:szCs w:val="18"/>
          <w:color w:val="auto"/>
        </w:rPr>
      </w:pPr>
    </w:p>
    <w:p>
      <w:pPr>
        <w:ind w:left="580" w:hanging="31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Adopt robust anti-hedging and pledging policies</w:t>
      </w:r>
    </w:p>
    <w:p>
      <w:pPr>
        <w:spacing w:after="0" w:line="22" w:lineRule="exact"/>
        <w:rPr>
          <w:rFonts w:ascii="Arial" w:cs="Arial" w:eastAsia="Arial" w:hAnsi="Arial"/>
          <w:sz w:val="18"/>
          <w:szCs w:val="18"/>
          <w:color w:val="auto"/>
        </w:rPr>
      </w:pPr>
    </w:p>
    <w:p>
      <w:pPr>
        <w:ind w:left="580" w:hanging="31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a peer group to benchmark pay</w:t>
      </w:r>
    </w:p>
    <w:p>
      <w:pPr>
        <w:spacing w:after="0" w:line="22" w:lineRule="exact"/>
        <w:rPr>
          <w:rFonts w:ascii="Arial" w:cs="Arial" w:eastAsia="Arial" w:hAnsi="Arial"/>
          <w:sz w:val="18"/>
          <w:szCs w:val="18"/>
          <w:color w:val="auto"/>
        </w:rPr>
      </w:pPr>
    </w:p>
    <w:p>
      <w:pPr>
        <w:ind w:left="580" w:hanging="31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a clawback policy</w:t>
      </w:r>
    </w:p>
    <w:p>
      <w:pPr>
        <w:spacing w:after="0" w:line="22" w:lineRule="exact"/>
        <w:rPr>
          <w:rFonts w:ascii="Arial" w:cs="Arial" w:eastAsia="Arial" w:hAnsi="Arial"/>
          <w:sz w:val="18"/>
          <w:szCs w:val="18"/>
          <w:color w:val="auto"/>
        </w:rPr>
      </w:pPr>
    </w:p>
    <w:p>
      <w:pPr>
        <w:ind w:left="580" w:hanging="31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a compensation consultant</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What We Don't Do</w:t>
      </w:r>
    </w:p>
    <w:p>
      <w:pPr>
        <w:spacing w:after="0" w:line="77" w:lineRule="exact"/>
        <w:rPr>
          <w:sz w:val="20"/>
          <w:szCs w:val="20"/>
          <w:color w:val="auto"/>
        </w:rPr>
      </w:pPr>
    </w:p>
    <w:p>
      <w:pPr>
        <w:ind w:left="580" w:hanging="325"/>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Guarantee bonuses</w:t>
      </w:r>
    </w:p>
    <w:p>
      <w:pPr>
        <w:spacing w:after="0" w:line="31" w:lineRule="exact"/>
        <w:rPr>
          <w:rFonts w:ascii="Arial" w:cs="Arial" w:eastAsia="Arial" w:hAnsi="Arial"/>
          <w:sz w:val="18"/>
          <w:szCs w:val="18"/>
          <w:color w:val="auto"/>
        </w:rPr>
      </w:pPr>
    </w:p>
    <w:p>
      <w:pPr>
        <w:ind w:left="580" w:hanging="325"/>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excessive perquisites</w:t>
      </w:r>
    </w:p>
    <w:p>
      <w:pPr>
        <w:spacing w:after="0" w:line="22" w:lineRule="exact"/>
        <w:rPr>
          <w:rFonts w:ascii="Arial" w:cs="Arial" w:eastAsia="Arial" w:hAnsi="Arial"/>
          <w:sz w:val="18"/>
          <w:szCs w:val="18"/>
          <w:color w:val="auto"/>
        </w:rPr>
      </w:pPr>
    </w:p>
    <w:p>
      <w:pPr>
        <w:ind w:left="580" w:hanging="325"/>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excessive severance payments</w:t>
      </w:r>
    </w:p>
    <w:p>
      <w:pPr>
        <w:spacing w:after="0" w:line="22" w:lineRule="exact"/>
        <w:rPr>
          <w:rFonts w:ascii="Arial" w:cs="Arial" w:eastAsia="Arial" w:hAnsi="Arial"/>
          <w:sz w:val="18"/>
          <w:szCs w:val="18"/>
          <w:color w:val="auto"/>
        </w:rPr>
      </w:pPr>
    </w:p>
    <w:p>
      <w:pPr>
        <w:ind w:left="580" w:hanging="325"/>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excise tax gross ups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50"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Base salary is the only fixed component of our executive officers’ total cash compensation and provides competitive pay to attract and retain our executives. Annual salary decisions are made in recognition of competitive data as well as the skills and experience that each individual brings to the Company and the performance contributions each makes.</w:t>
      </w:r>
    </w:p>
    <w:p>
      <w:pPr>
        <w:spacing w:after="0" w:line="198" w:lineRule="exact"/>
        <w:rPr>
          <w:sz w:val="20"/>
          <w:szCs w:val="20"/>
          <w:color w:val="auto"/>
        </w:rPr>
      </w:pPr>
    </w:p>
    <w:p>
      <w:pPr>
        <w:ind w:right="740" w:firstLine="486"/>
        <w:spacing w:after="0" w:line="287" w:lineRule="auto"/>
        <w:rPr>
          <w:sz w:val="20"/>
          <w:szCs w:val="20"/>
          <w:color w:val="auto"/>
        </w:rPr>
      </w:pPr>
      <w:r>
        <w:rPr>
          <w:rFonts w:ascii="Arial" w:cs="Arial" w:eastAsia="Arial" w:hAnsi="Arial"/>
          <w:sz w:val="18"/>
          <w:szCs w:val="18"/>
          <w:color w:val="auto"/>
        </w:rPr>
        <w:t>Base salary changes in 2024 varied by executive due to merit increases, as well as other factors considered, including tenure, experience and the role of the individual.</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base salaries for our NEOs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Executive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Annual Increase</w:t>
            </w:r>
          </w:p>
        </w:tc>
      </w:tr>
      <w:tr>
        <w:trPr>
          <w:trHeight w:val="197"/>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242424"/>
              </w:rPr>
              <w:t>Ryan J. Watts, Ph.D.</w:t>
            </w:r>
          </w:p>
        </w:tc>
        <w:tc>
          <w:tcPr>
            <w:tcW w:w="138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24242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670,000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690,000</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199"/>
        </w:trPr>
        <w:tc>
          <w:tcPr>
            <w:tcW w:w="4500" w:type="dxa"/>
            <w:vAlign w:val="bottom"/>
            <w:gridSpan w:val="2"/>
          </w:tcPr>
          <w:p>
            <w:pPr>
              <w:ind w:left="20"/>
              <w:spacing w:after="0"/>
              <w:rPr>
                <w:sz w:val="20"/>
                <w:szCs w:val="20"/>
                <w:color w:val="auto"/>
              </w:rPr>
            </w:pPr>
            <w:r>
              <w:rPr>
                <w:rFonts w:ascii="Arial" w:cs="Arial" w:eastAsia="Arial" w:hAnsi="Arial"/>
                <w:sz w:val="14"/>
                <w:szCs w:val="14"/>
                <w:color w:val="242424"/>
              </w:rPr>
              <w:t>Alexander O. Schuth, M.D.</w:t>
            </w:r>
          </w:p>
        </w:tc>
        <w:tc>
          <w:tcPr>
            <w:tcW w:w="1380" w:type="dxa"/>
            <w:vAlign w:val="bottom"/>
          </w:tcPr>
          <w:p>
            <w:pPr>
              <w:jc w:val="right"/>
              <w:ind w:right="1208"/>
              <w:spacing w:after="0"/>
              <w:rPr>
                <w:sz w:val="20"/>
                <w:szCs w:val="20"/>
                <w:color w:val="auto"/>
              </w:rPr>
            </w:pPr>
            <w:r>
              <w:rPr>
                <w:rFonts w:ascii="Arial" w:cs="Arial" w:eastAsia="Arial" w:hAnsi="Arial"/>
                <w:sz w:val="14"/>
                <w:szCs w:val="14"/>
                <w:color w:val="242424"/>
              </w:rPr>
              <w:t>$</w:t>
            </w:r>
          </w:p>
        </w:tc>
        <w:tc>
          <w:tcPr>
            <w:tcW w:w="740" w:type="dxa"/>
            <w:vAlign w:val="bottom"/>
          </w:tcPr>
          <w:p>
            <w:pPr>
              <w:jc w:val="right"/>
              <w:spacing w:after="0"/>
              <w:rPr>
                <w:sz w:val="20"/>
                <w:szCs w:val="20"/>
                <w:color w:val="auto"/>
              </w:rPr>
            </w:pPr>
            <w:r>
              <w:rPr>
                <w:rFonts w:ascii="Arial" w:cs="Arial" w:eastAsia="Arial" w:hAnsi="Arial"/>
                <w:sz w:val="14"/>
                <w:szCs w:val="14"/>
                <w:color w:val="242424"/>
              </w:rPr>
              <w:t>520,000</w:t>
            </w:r>
          </w:p>
        </w:tc>
        <w:tc>
          <w:tcPr>
            <w:tcW w:w="12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536,000</w:t>
            </w:r>
          </w:p>
        </w:tc>
        <w:tc>
          <w:tcPr>
            <w:tcW w:w="1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0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242424"/>
              </w:rPr>
              <w:t>Carole Ho, M.D.</w:t>
            </w:r>
          </w:p>
        </w:tc>
        <w:tc>
          <w:tcPr>
            <w:tcW w:w="138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24242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520,000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536,000</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Incentives</w:t>
      </w:r>
    </w:p>
    <w:p>
      <w:pPr>
        <w:spacing w:after="0" w:line="25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Annual Cash Incentive Program (Bonus Plan) is designed to provide a financial incentive to reward executives for the achievement of a series of program specific, pipeline and functional corporate goals. Payments under the plan are ultimately based on achievement of these pre-established corporate goals. Actual performance against targets, as measured by these pre-established corporate goals, funds the incentive payouts. The bonus pool can be funded to a maximum of 200% of target funding levels. The total bonus payout cannot exceed the total amount of funding in the pool. Bonuses are typically paid in the quarter following the end of the performance period and bonuses to our NEOs are subject to the terms of our Executive Incentive Compensation Plan, under which our compensation committee has broad discretion to increase, decrease or eliminate the funding of the bonus pool and the amounts payable as individual bonuses.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Bonuses for all employees, including our NEOs, for the fiscal year ended December 31, 2024, were allocated from a bonus pool funded based on performance against a number of high impact, stretch project and cross-function goals. The project goals related to specific programs, trials and pipeline progress, including goals for clinical stage programs as well as seed, pathway, platform, and preclinical goals. The cross-function goals included goals related to acceleration of portfolio timelines, team efficiency, establishing capabilities for successful commercialization and manufacturing, raising funds through equity issuances, royalty monetization and/or new partnerships, publications, utilization of AI, budget, work environment and work product, and other functional goals. Most of the cross-functional goals involved multiple steps geared toward driving advancement of key Company initiatives. The combination of the project and cross-function goals was intended to drive both specific technical achievement and continue to build the foundation for future Company growth and advancements. Based on the diversity and difficulty of these goals, in structuring the funding expectations at the beginning of the year, the Company believed that achievement of 70% of these challenging goals would be difficult, requiring focused effort and diligence, and would represent strong alignment with the Company’s business objectives that would make bonus pool funding at 100% levels appropriate.</w:t>
      </w:r>
    </w:p>
    <w:p>
      <w:pPr>
        <w:spacing w:after="0" w:line="209" w:lineRule="exact"/>
        <w:rPr>
          <w:sz w:val="20"/>
          <w:szCs w:val="20"/>
          <w:color w:val="auto"/>
        </w:rPr>
      </w:pPr>
    </w:p>
    <w:p>
      <w:pPr>
        <w:ind w:right="480" w:firstLine="486"/>
        <w:spacing w:after="0" w:line="287" w:lineRule="auto"/>
        <w:rPr>
          <w:sz w:val="20"/>
          <w:szCs w:val="20"/>
          <w:color w:val="auto"/>
        </w:rPr>
      </w:pPr>
      <w:r>
        <w:rPr>
          <w:rFonts w:ascii="Arial" w:cs="Arial" w:eastAsia="Arial" w:hAnsi="Arial"/>
          <w:sz w:val="18"/>
          <w:szCs w:val="18"/>
          <w:color w:val="auto"/>
        </w:rPr>
        <w:t>Each goal is measured individually, and the percent of goals achieved determines the bonus payout, subject to the compensation committee's discretion to alter bonus funding and payouts: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100% and/or Major value driver</w:t>
            </w:r>
          </w:p>
        </w:tc>
      </w:tr>
      <w:tr>
        <w:trPr>
          <w:trHeight w:val="244"/>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of Goals Achieved</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70%</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80%</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90%</w:t>
            </w:r>
          </w:p>
        </w:tc>
        <w:tc>
          <w:tcPr>
            <w:tcW w:w="3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(e.g. Phase 3, Drug Approval)</w:t>
            </w:r>
          </w:p>
        </w:tc>
      </w:tr>
      <w:tr>
        <w:trPr>
          <w:trHeight w:val="245"/>
        </w:trPr>
        <w:tc>
          <w:tcPr>
            <w:tcW w:w="1920" w:type="dxa"/>
            <w:vAlign w:val="bottom"/>
          </w:tcPr>
          <w:p>
            <w:pPr>
              <w:ind w:left="20"/>
              <w:spacing w:after="0"/>
              <w:rPr>
                <w:sz w:val="20"/>
                <w:szCs w:val="20"/>
                <w:color w:val="auto"/>
              </w:rPr>
            </w:pPr>
            <w:r>
              <w:rPr>
                <w:rFonts w:ascii="Arial" w:cs="Arial" w:eastAsia="Arial" w:hAnsi="Arial"/>
                <w:sz w:val="18"/>
                <w:szCs w:val="18"/>
                <w:color w:val="auto"/>
              </w:rPr>
              <w:t>% Pool Funding</w:t>
            </w:r>
          </w:p>
        </w:tc>
        <w:tc>
          <w:tcPr>
            <w:tcW w:w="780" w:type="dxa"/>
            <w:vAlign w:val="bottom"/>
          </w:tcPr>
          <w:p>
            <w:pPr>
              <w:ind w:left="240"/>
              <w:spacing w:after="0"/>
              <w:rPr>
                <w:sz w:val="20"/>
                <w:szCs w:val="20"/>
                <w:color w:val="auto"/>
              </w:rPr>
            </w:pPr>
            <w:r>
              <w:rPr>
                <w:rFonts w:ascii="Arial" w:cs="Arial" w:eastAsia="Arial" w:hAnsi="Arial"/>
                <w:sz w:val="18"/>
                <w:szCs w:val="18"/>
                <w:color w:val="auto"/>
              </w:rPr>
              <w:t>0%</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760" w:type="dxa"/>
            <w:vAlign w:val="bottom"/>
          </w:tcPr>
          <w:p>
            <w:pPr>
              <w:ind w:left="140"/>
              <w:spacing w:after="0"/>
              <w:rPr>
                <w:sz w:val="20"/>
                <w:szCs w:val="20"/>
                <w:color w:val="auto"/>
              </w:rPr>
            </w:pPr>
            <w:r>
              <w:rPr>
                <w:rFonts w:ascii="Arial" w:cs="Arial" w:eastAsia="Arial" w:hAnsi="Arial"/>
                <w:sz w:val="18"/>
                <w:szCs w:val="18"/>
                <w:color w:val="auto"/>
              </w:rPr>
              <w:t>100%</w:t>
            </w:r>
          </w:p>
        </w:tc>
        <w:tc>
          <w:tcPr>
            <w:tcW w:w="780" w:type="dxa"/>
            <w:vAlign w:val="bottom"/>
          </w:tcPr>
          <w:p>
            <w:pPr>
              <w:ind w:left="160"/>
              <w:spacing w:after="0"/>
              <w:rPr>
                <w:sz w:val="20"/>
                <w:szCs w:val="20"/>
                <w:color w:val="auto"/>
              </w:rPr>
            </w:pPr>
            <w:r>
              <w:rPr>
                <w:rFonts w:ascii="Arial" w:cs="Arial" w:eastAsia="Arial" w:hAnsi="Arial"/>
                <w:sz w:val="18"/>
                <w:szCs w:val="18"/>
                <w:color w:val="auto"/>
              </w:rPr>
              <w:t>125%</w:t>
            </w:r>
          </w:p>
        </w:tc>
        <w:tc>
          <w:tcPr>
            <w:tcW w:w="780" w:type="dxa"/>
            <w:vAlign w:val="bottom"/>
          </w:tcPr>
          <w:p>
            <w:pPr>
              <w:ind w:left="160"/>
              <w:spacing w:after="0"/>
              <w:rPr>
                <w:sz w:val="20"/>
                <w:szCs w:val="20"/>
                <w:color w:val="auto"/>
              </w:rPr>
            </w:pPr>
            <w:r>
              <w:rPr>
                <w:rFonts w:ascii="Arial" w:cs="Arial" w:eastAsia="Arial" w:hAnsi="Arial"/>
                <w:sz w:val="18"/>
                <w:szCs w:val="18"/>
                <w:color w:val="auto"/>
              </w:rPr>
              <w:t>150%</w:t>
            </w:r>
          </w:p>
        </w:tc>
        <w:tc>
          <w:tcPr>
            <w:tcW w:w="3680" w:type="dxa"/>
            <w:vAlign w:val="bottom"/>
          </w:tcPr>
          <w:p>
            <w:pPr>
              <w:ind w:left="160"/>
              <w:spacing w:after="0"/>
              <w:rPr>
                <w:sz w:val="20"/>
                <w:szCs w:val="20"/>
                <w:color w:val="auto"/>
              </w:rPr>
            </w:pPr>
            <w:r>
              <w:rPr>
                <w:rFonts w:ascii="Arial" w:cs="Arial" w:eastAsia="Arial" w:hAnsi="Arial"/>
                <w:sz w:val="18"/>
                <w:szCs w:val="18"/>
                <w:color w:val="auto"/>
              </w:rPr>
              <w:t>200%</w:t>
            </w:r>
          </w:p>
        </w:tc>
      </w:tr>
    </w:tbl>
    <w:p>
      <w:pPr>
        <w:spacing w:after="0" w:line="261"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In January 2025, the compensation committee of our board of directors reviewed the progress against the applicable 2024 goals. In 2024 we met 5 out of 6 (83%) high-impact objective goals and 15 out of 17 (88%) of our other objective goals. As a result of these achievements, the compensation committee funded the bonus pool at 140% of target levels. The resulting bonuses to NEOs were as follows:</w:t>
      </w:r>
    </w:p>
    <w:tbl>
      <w:tblPr>
        <w:tblLayout w:type="fixed"/>
        <w:tblInd w:w="0" w:type="dxa"/>
        <w:tblCellMar>
          <w:top w:w="0" w:type="dxa"/>
          <w:left w:w="0" w:type="dxa"/>
          <w:bottom w:w="0" w:type="dxa"/>
          <w:right w:w="0" w:type="dxa"/>
        </w:tblCellMar>
      </w:tblPr>
      <w:tr>
        <w:trPr>
          <w:trHeight w:val="153"/>
        </w:trPr>
        <w:tc>
          <w:tcPr>
            <w:tcW w:w="29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Executive</w:t>
            </w:r>
          </w:p>
        </w:tc>
        <w:tc>
          <w:tcPr>
            <w:tcW w:w="1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2024 Base Salary</w:t>
            </w:r>
          </w:p>
        </w:tc>
        <w:tc>
          <w:tcPr>
            <w:tcW w:w="120" w:type="dxa"/>
            <w:vAlign w:val="bottom"/>
            <w:vMerge w:val="restart"/>
          </w:tcPr>
          <w:p>
            <w:pPr>
              <w:spacing w:after="0"/>
              <w:rPr>
                <w:sz w:val="13"/>
                <w:szCs w:val="13"/>
                <w:color w:val="auto"/>
              </w:rPr>
            </w:pPr>
          </w:p>
        </w:tc>
        <w:tc>
          <w:tcPr>
            <w:tcW w:w="2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Annual Target Bonus (% of</w:t>
            </w:r>
          </w:p>
        </w:tc>
        <w:tc>
          <w:tcPr>
            <w:tcW w:w="2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Funding Percentage</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 Earned Award</w:t>
            </w:r>
          </w:p>
        </w:tc>
        <w:tc>
          <w:tcPr>
            <w:tcW w:w="0" w:type="dxa"/>
            <w:vAlign w:val="bottom"/>
          </w:tcPr>
          <w:p>
            <w:pPr>
              <w:spacing w:after="0"/>
              <w:rPr>
                <w:sz w:val="1"/>
                <w:szCs w:val="1"/>
                <w:color w:val="auto"/>
              </w:rPr>
            </w:pPr>
          </w:p>
        </w:tc>
      </w:tr>
      <w:tr>
        <w:trPr>
          <w:trHeight w:val="185"/>
        </w:trPr>
        <w:tc>
          <w:tcPr>
            <w:tcW w:w="2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base)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690,000</w:t>
            </w: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627,969</w:t>
            </w:r>
          </w:p>
        </w:tc>
        <w:tc>
          <w:tcPr>
            <w:tcW w:w="0" w:type="dxa"/>
            <w:vAlign w:val="bottom"/>
          </w:tcPr>
          <w:p>
            <w:pPr>
              <w:spacing w:after="0"/>
              <w:rPr>
                <w:sz w:val="1"/>
                <w:szCs w:val="1"/>
                <w:color w:val="auto"/>
              </w:rPr>
            </w:pPr>
          </w:p>
        </w:tc>
      </w:tr>
      <w:tr>
        <w:trPr>
          <w:trHeight w:val="199"/>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Alexander O. Schuth, M.D.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536,000</w:t>
            </w: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140 %</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337,416</w:t>
            </w: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536,000</w:t>
            </w: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250"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In 2024 we granted our executives’ target equity compensation in the form of time-vesting RSUs and stock options. In determining the awards vehicles, the compensation committee considers the appropriate split of such equity awards, including the balancing of incentives and retention needs, stockholder dilution and equity plan share reserve management.</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Equity granted to our executives in 2024 are detailed below and in the section "Grants of Plan-Based Awards":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7"/>
        </w:trPr>
        <w:tc>
          <w:tcPr>
            <w:tcW w:w="500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Executive</w:t>
            </w:r>
          </w:p>
        </w:tc>
        <w:tc>
          <w:tcPr>
            <w:tcW w:w="120" w:type="dxa"/>
            <w:vAlign w:val="bottom"/>
            <w:vMerge w:val="restart"/>
          </w:tcPr>
          <w:p>
            <w:pPr>
              <w:spacing w:after="0"/>
              <w:rPr>
                <w:sz w:val="12"/>
                <w:szCs w:val="12"/>
                <w:color w:val="auto"/>
              </w:rPr>
            </w:pPr>
          </w:p>
        </w:tc>
        <w:tc>
          <w:tcPr>
            <w:tcW w:w="14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Granted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Grant Date Fair</w:t>
            </w:r>
          </w:p>
        </w:tc>
        <w:tc>
          <w:tcPr>
            <w:tcW w:w="14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Granted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128"/>
              <w:spacing w:after="0" w:line="147"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1,819,942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3,405,851</w:t>
            </w:r>
          </w:p>
        </w:tc>
        <w:tc>
          <w:tcPr>
            <w:tcW w:w="0" w:type="dxa"/>
            <w:vAlign w:val="bottom"/>
          </w:tcPr>
          <w:p>
            <w:pPr>
              <w:spacing w:after="0"/>
              <w:rPr>
                <w:sz w:val="1"/>
                <w:szCs w:val="1"/>
                <w:color w:val="auto"/>
              </w:rPr>
            </w:pP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Alexander O. Schuth, M.D.</w:t>
            </w:r>
          </w:p>
        </w:tc>
        <w:tc>
          <w:tcPr>
            <w:tcW w:w="1420" w:type="dxa"/>
            <w:vAlign w:val="bottom"/>
          </w:tcPr>
          <w:p>
            <w:pPr>
              <w:jc w:val="right"/>
              <w:spacing w:after="0"/>
              <w:rPr>
                <w:sz w:val="20"/>
                <w:szCs w:val="20"/>
                <w:color w:val="auto"/>
              </w:rPr>
            </w:pPr>
            <w:r>
              <w:rPr>
                <w:rFonts w:ascii="Arial" w:cs="Arial" w:eastAsia="Arial" w:hAnsi="Arial"/>
                <w:sz w:val="14"/>
                <w:szCs w:val="14"/>
                <w:color w:val="auto"/>
              </w:rPr>
              <w:t>53,720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1,092,128</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161,160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2,043,815</w:t>
            </w:r>
          </w:p>
        </w:tc>
        <w:tc>
          <w:tcPr>
            <w:tcW w:w="0" w:type="dxa"/>
            <w:vAlign w:val="bottom"/>
          </w:tcPr>
          <w:p>
            <w:pPr>
              <w:spacing w:after="0"/>
              <w:rPr>
                <w:sz w:val="1"/>
                <w:szCs w:val="1"/>
                <w:color w:val="auto"/>
              </w:rPr>
            </w:pPr>
          </w:p>
        </w:tc>
      </w:tr>
      <w:tr>
        <w:trPr>
          <w:trHeight w:val="207"/>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1,092,128</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2,043,815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Protections</w:t>
      </w:r>
    </w:p>
    <w:p>
      <w:pPr>
        <w:spacing w:after="0" w:line="25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maintain a Key Executive Change in Control and Severance Plan (the “Severance Plan”) in which our NEOs participate. The Severance Plan provides participants with severance in the event of certain qualifying terminations, including following a change in control of our Company, and certain change in control benefits. We believe that these protections are necessary to provide our valuable executives with incentives to forego other employment opportunities and remain employed with us and to maintain continued focus and dedication to their responsibilities to maximize stockholder value, including if there is a potential transaction that could involve a change in control. In addition, these protections are available only if a named executive officer executes and does not revoke a general release of claims in favor of us. The terms and levels of benefits provided to our NEOs under the Severance Plan were determined by our compensation committee, with input from our management team, and approved by our board following a review of analysis prepared by Aon of relevant market data for other companies with whom we compete for executive talent, and are reviewed, and the analysis refreshed, from time to time.</w:t>
      </w:r>
    </w:p>
    <w:p>
      <w:pPr>
        <w:spacing w:after="0" w:line="20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For a summary of the material terms of the benefits provided to our NEOs under the Severance Plan, and an estimate of the payments and benefits that may be received by our NEOs under the Severance Plan, see “Potential Payments on Termination or Change in Control”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Policies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Hedging and Pledging Prohibitions</w:t>
      </w:r>
    </w:p>
    <w:p>
      <w:pPr>
        <w:spacing w:after="0" w:line="250"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We have adopted an insider trading policy that governs the purchase, sale and other dispositions of our securities by all our directors, officers and employees that is reasonably designed to promote compliance with insider trading laws, rules and regulations and any applicable listing standards. We comply with insider trading laws, rules and regulations and any applicable listing standards in any transactions involving our own securities.</w:t>
      </w:r>
    </w:p>
    <w:p>
      <w:pPr>
        <w:spacing w:after="0" w:line="203"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color w:val="auto"/>
        </w:rPr>
        <w:t>Those subject to our insider trading policy are barred from hedging and pledging our stock. They are prohibited from pledging Company securities as collateral for loans, and doing so would be a violation of our insider trading policy.</w:t>
      </w:r>
    </w:p>
    <w:p>
      <w:pPr>
        <w:spacing w:after="0" w:line="18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Additionally, those subject to our insider trading policy are barred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There are limited exceptions to the hedging and pledging prohibitions, however they must be approved by a Compliance Officer, in consultation with the board of directors or an independent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and Tax Considerations</w:t>
      </w:r>
    </w:p>
    <w:p>
      <w:pPr>
        <w:spacing w:after="0" w:line="250"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Company accounts for equity-based compensation paid to employees under FASB ASC Topic 718, which requires the Company to estimate and record an expense over the service period of an award. Thus, the Company may record an expense in one year for awards granted in earlier years. Accounting rules also require the recording of cash compensation as an expense at the time the obligation is incurred.</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Section 162(m) of the Internal Revenue Code of 1986, as amended (the "Code") generally prohibits us from deducting any compensation over $1 million per taxable year paid to certain of our executive officers. The Tax Cuts and Jobs Act (the “Tax Act”) among other changes, repealed the exception from the deduction limit under Section 162(m) for performance-based compensation effective for taxable years beginning after December 31, 2017, such that compensation paid to our covered executive officers in excess of $1 million will not be deductible, unless it qualifies for transition relief applicable to certain grandfathered awards. In addition, the regulations promulgated under Section 162(m) of the Code contain a transition rule that applies to companies, such as ours, that become subject to Section 162(m) of the Code by reason of becoming publicly held prior to a certain date. Pursuant to this rule, certain compensation granted during a transition period (and, with respect to RSUs, that are paid out before the end of the transition period) is not counted toward the deduction limitations of 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neither our compensation committee nor its authorized committee has adopted a policy that all equity or other compensation must be deductible.</w:t>
      </w:r>
    </w:p>
    <w:p>
      <w:pPr>
        <w:spacing w:after="0" w:line="217"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Further, while the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203"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In addition to considering the tax consequences, the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Parachute Payments and Deferred Compensation</w:t>
      </w:r>
    </w:p>
    <w:p>
      <w:pPr>
        <w:spacing w:after="0" w:line="25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We do not provide, and have no obligation to provide, any of our NEOs with a “gross-up” or other reimbursement payment for any tax liability he or she might owe because of the application of Sections 280G, 4999 or 409A of the Code. If any of the payments or benefits provided for under the Severance Plan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250"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In June 2023, the SEC approved the Nasdaq’s proposed rules implementing the incentive-based compensation recovery provisions of the Dodd-Frank Wall Street Reform and Consumer Protection Act (“Dodd-Frank Act”), which require listed companies to develop and implement a policy providing for the recovery of erroneously awarded incentive-based compensation received by current or former executive officers and to satisfy related disclosure obligations.</w:t>
      </w:r>
    </w:p>
    <w:p>
      <w:pPr>
        <w:spacing w:after="0" w:line="203"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On November 13, 2023 and disclosed as an exhibit to Form 10-K filed with the SEC on February 28, 2024, we adopted our Compensation Recovery Policy, which applies to all covered employees to reflect and comply with these new requirements. Our policy provides that the Company is required to recover certain erroneously paid incentive-based compensation, including cash incentive or performance-vesting equity compensation, of its current and former executive officers in the event the Company is required to prepare a qualifying accounting restatement.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Years 2022, 2023 and 2024</w:t>
      </w:r>
    </w:p>
    <w:p>
      <w:pPr>
        <w:spacing w:after="0" w:line="185" w:lineRule="exact"/>
        <w:rPr>
          <w:sz w:val="20"/>
          <w:szCs w:val="20"/>
          <w:color w:val="auto"/>
        </w:rPr>
      </w:pPr>
    </w:p>
    <w:p>
      <w:pPr>
        <w:ind w:right="860" w:firstLine="486"/>
        <w:spacing w:after="0" w:line="287"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during the years ended December 31, 2022, 2023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8"/>
              <w:spacing w:after="0" w:line="203"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9"/>
                <w:szCs w:val="9"/>
                <w:b w:val="1"/>
                <w:bCs w:val="1"/>
                <w:color w:val="auto"/>
              </w:rPr>
              <w:t>(2)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9"/>
                <w:szCs w:val="9"/>
                <w:b w:val="1"/>
                <w:bCs w:val="1"/>
                <w:color w:val="auto"/>
              </w:rPr>
              <w:t>(3)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9"/>
                <w:szCs w:val="9"/>
                <w:b w:val="1"/>
                <w:bCs w:val="1"/>
                <w:color w:val="auto"/>
              </w:rPr>
              <w:t>(4)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690,100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1,819,942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3,405,851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6,557,662</w:t>
            </w:r>
          </w:p>
        </w:tc>
        <w:tc>
          <w:tcPr>
            <w:tcW w:w="0" w:type="dxa"/>
            <w:vAlign w:val="bottom"/>
          </w:tcPr>
          <w:p>
            <w:pPr>
              <w:spacing w:after="0"/>
              <w:rPr>
                <w:sz w:val="1"/>
                <w:szCs w:val="1"/>
                <w:color w:val="auto"/>
              </w:rPr>
            </w:pPr>
          </w:p>
        </w:tc>
      </w:tr>
      <w:tr>
        <w:trPr>
          <w:trHeight w:val="148"/>
        </w:trPr>
        <w:tc>
          <w:tcPr>
            <w:tcW w:w="2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President and Chief Executive</w:t>
            </w:r>
          </w:p>
        </w:tc>
        <w:tc>
          <w:tcPr>
            <w:tcW w:w="780" w:type="dxa"/>
            <w:vAlign w:val="bottom"/>
            <w:vMerge w:val="restart"/>
          </w:tcPr>
          <w:p>
            <w:pPr>
              <w:ind w:left="24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670,000</w:t>
            </w:r>
          </w:p>
        </w:tc>
        <w:tc>
          <w:tcPr>
            <w:tcW w:w="120" w:type="dxa"/>
            <w:vAlign w:val="bottom"/>
          </w:tcPr>
          <w:p>
            <w:pPr>
              <w:spacing w:after="0"/>
              <w:rPr>
                <w:sz w:val="12"/>
                <w:szCs w:val="12"/>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462,289</w:t>
            </w:r>
          </w:p>
        </w:tc>
        <w:tc>
          <w:tcPr>
            <w:tcW w:w="12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2,272,291</w:t>
            </w:r>
          </w:p>
        </w:tc>
        <w:tc>
          <w:tcPr>
            <w:tcW w:w="12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4,461,487</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13,200</w:t>
            </w:r>
          </w:p>
        </w:tc>
        <w:tc>
          <w:tcPr>
            <w:tcW w:w="12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7,879,267</w:t>
            </w:r>
          </w:p>
        </w:tc>
        <w:tc>
          <w:tcPr>
            <w:tcW w:w="0" w:type="dxa"/>
            <w:vAlign w:val="bottom"/>
          </w:tcPr>
          <w:p>
            <w:pPr>
              <w:spacing w:after="0"/>
              <w:rPr>
                <w:sz w:val="1"/>
                <w:szCs w:val="1"/>
                <w:color w:val="auto"/>
              </w:rPr>
            </w:pPr>
          </w:p>
        </w:tc>
      </w:tr>
      <w:tr>
        <w:trPr>
          <w:trHeight w:val="189"/>
        </w:trPr>
        <w:tc>
          <w:tcPr>
            <w:tcW w:w="2700" w:type="dxa"/>
            <w:vAlign w:val="bottom"/>
            <w:gridSpan w:val="2"/>
          </w:tcPr>
          <w:p>
            <w:pPr>
              <w:ind w:left="240"/>
              <w:spacing w:after="0"/>
              <w:rPr>
                <w:sz w:val="20"/>
                <w:szCs w:val="20"/>
                <w:color w:val="auto"/>
              </w:rPr>
            </w:pPr>
            <w:r>
              <w:rPr>
                <w:rFonts w:ascii="Arial" w:cs="Arial" w:eastAsia="Arial" w:hAnsi="Arial"/>
                <w:sz w:val="14"/>
                <w:szCs w:val="14"/>
                <w:color w:val="auto"/>
              </w:rPr>
              <w:t>Officer</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645,000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5,309,748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9,284,688</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Alexander O. Schuth, M.D.</w:t>
            </w:r>
          </w:p>
        </w:tc>
        <w:tc>
          <w:tcPr>
            <w:tcW w:w="780" w:type="dxa"/>
            <w:vAlign w:val="bottom"/>
          </w:tcPr>
          <w:p>
            <w:pPr>
              <w:ind w:left="24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535,600</w:t>
            </w:r>
          </w:p>
        </w:tc>
        <w:tc>
          <w:tcPr>
            <w:tcW w:w="1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337,416</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1,092,128</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2,043,815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13,800</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4,022,759</w:t>
            </w:r>
          </w:p>
        </w:tc>
        <w:tc>
          <w:tcPr>
            <w:tcW w:w="0" w:type="dxa"/>
            <w:vAlign w:val="bottom"/>
          </w:tcPr>
          <w:p>
            <w:pPr>
              <w:spacing w:after="0"/>
              <w:rPr>
                <w:sz w:val="1"/>
                <w:szCs w:val="1"/>
                <w:color w:val="auto"/>
              </w:rPr>
            </w:pPr>
          </w:p>
        </w:tc>
      </w:tr>
      <w:tr>
        <w:trPr>
          <w:trHeight w:val="153"/>
        </w:trPr>
        <w:tc>
          <w:tcPr>
            <w:tcW w:w="2700" w:type="dxa"/>
            <w:vAlign w:val="bottom"/>
            <w:gridSpan w:val="2"/>
            <w:shd w:val="clear" w:color="auto" w:fill="CCEEFF"/>
          </w:tcPr>
          <w:p>
            <w:pPr>
              <w:ind w:left="240"/>
              <w:spacing w:after="0" w:line="153" w:lineRule="exact"/>
              <w:rPr>
                <w:sz w:val="20"/>
                <w:szCs w:val="20"/>
                <w:color w:val="auto"/>
              </w:rPr>
            </w:pPr>
            <w:r>
              <w:rPr>
                <w:rFonts w:ascii="Arial" w:cs="Arial" w:eastAsia="Arial" w:hAnsi="Arial"/>
                <w:sz w:val="14"/>
                <w:szCs w:val="14"/>
                <w:color w:val="auto"/>
              </w:rPr>
              <w:t>Chief Operating and Financial</w:t>
            </w:r>
          </w:p>
        </w:tc>
        <w:tc>
          <w:tcPr>
            <w:tcW w:w="7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520,000</w:t>
            </w:r>
          </w:p>
        </w:tc>
        <w:tc>
          <w:tcPr>
            <w:tcW w:w="12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269,093</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1,136,146</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2,230,744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13,200</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4,169,183</w:t>
            </w: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Officer and Secretary</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ind w:left="2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2,307,095</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2,647,757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12,200</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5,692,052</w:t>
            </w:r>
          </w:p>
        </w:tc>
        <w:tc>
          <w:tcPr>
            <w:tcW w:w="0" w:type="dxa"/>
            <w:vAlign w:val="bottom"/>
          </w:tcPr>
          <w:p>
            <w:pPr>
              <w:spacing w:after="0"/>
              <w:rPr>
                <w:sz w:val="1"/>
                <w:szCs w:val="1"/>
                <w:color w:val="auto"/>
              </w:rPr>
            </w:pPr>
          </w:p>
        </w:tc>
      </w:tr>
      <w:tr>
        <w:trPr>
          <w:trHeight w:val="207"/>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535,600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337,416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1,092,128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2,043,815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4,022,759</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40"/>
              <w:spacing w:after="0"/>
              <w:rPr>
                <w:sz w:val="20"/>
                <w:szCs w:val="20"/>
                <w:color w:val="auto"/>
              </w:rPr>
            </w:pPr>
            <w:r>
              <w:rPr>
                <w:rFonts w:ascii="Arial" w:cs="Arial" w:eastAsia="Arial" w:hAnsi="Arial"/>
                <w:sz w:val="14"/>
                <w:szCs w:val="14"/>
                <w:color w:val="auto"/>
              </w:rPr>
              <w:t>Chief Medical Officer</w:t>
            </w:r>
          </w:p>
        </w:tc>
        <w:tc>
          <w:tcPr>
            <w:tcW w:w="780" w:type="dxa"/>
            <w:vAlign w:val="bottom"/>
          </w:tcPr>
          <w:p>
            <w:pPr>
              <w:ind w:left="24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520,000</w:t>
            </w:r>
          </w:p>
        </w:tc>
        <w:tc>
          <w:tcPr>
            <w:tcW w:w="1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269,093</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1,136,146</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2,230,744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13,200</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4,169,183</w:t>
            </w:r>
          </w:p>
        </w:tc>
        <w:tc>
          <w:tcPr>
            <w:tcW w:w="0" w:type="dxa"/>
            <w:vAlign w:val="bottom"/>
          </w:tcPr>
          <w:p>
            <w:pPr>
              <w:spacing w:after="0"/>
              <w:rPr>
                <w:sz w:val="1"/>
                <w:szCs w:val="1"/>
                <w:color w:val="auto"/>
              </w:rPr>
            </w:pPr>
          </w:p>
        </w:tc>
      </w:tr>
      <w:tr>
        <w:trPr>
          <w:trHeight w:val="207"/>
        </w:trPr>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2,307,095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2,647,757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5,692,052</w:t>
            </w:r>
          </w:p>
        </w:tc>
        <w:tc>
          <w:tcPr>
            <w:tcW w:w="0" w:type="dxa"/>
            <w:vAlign w:val="bottom"/>
          </w:tcPr>
          <w:p>
            <w:pPr>
              <w:spacing w:after="0"/>
              <w:rPr>
                <w:sz w:val="1"/>
                <w:szCs w:val="1"/>
                <w:color w:val="auto"/>
              </w:rPr>
            </w:pPr>
          </w:p>
        </w:tc>
      </w:tr>
      <w:tr>
        <w:trPr>
          <w:trHeight w:val="162"/>
        </w:trPr>
        <w:tc>
          <w:tcPr>
            <w:tcW w:w="2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1"/>
          <w:szCs w:val="11"/>
          <w:color w:val="auto"/>
        </w:rPr>
      </w:pPr>
      <w:r>
        <w:rPr>
          <w:rFonts w:ascii="Arial" w:cs="Arial" w:eastAsia="Arial" w:hAnsi="Arial"/>
          <w:sz w:val="14"/>
          <w:szCs w:val="14"/>
          <w:color w:val="auto"/>
        </w:rPr>
        <w:t>The amounts included in this column reflect bonus payments earned in 2022, 2023 and 2024.</w:t>
      </w:r>
    </w:p>
    <w:p>
      <w:pPr>
        <w:spacing w:after="0" w:line="28" w:lineRule="exact"/>
        <w:rPr>
          <w:rFonts w:ascii="Arial" w:cs="Arial" w:eastAsia="Arial" w:hAnsi="Arial"/>
          <w:sz w:val="11"/>
          <w:szCs w:val="11"/>
          <w:color w:val="auto"/>
        </w:rPr>
      </w:pPr>
    </w:p>
    <w:p>
      <w:pPr>
        <w:ind w:left="500" w:right="200" w:hanging="492"/>
        <w:spacing w:after="0" w:line="261" w:lineRule="auto"/>
        <w:tabs>
          <w:tab w:leader="none" w:pos="497" w:val="left"/>
        </w:tabs>
        <w:numPr>
          <w:ilvl w:val="0"/>
          <w:numId w:val="30"/>
        </w:numPr>
        <w:rPr>
          <w:rFonts w:ascii="Arial" w:cs="Arial" w:eastAsia="Arial" w:hAnsi="Arial"/>
          <w:sz w:val="11"/>
          <w:szCs w:val="11"/>
          <w:color w:val="auto"/>
        </w:rPr>
      </w:pPr>
      <w:r>
        <w:rPr>
          <w:rFonts w:ascii="Arial" w:cs="Arial" w:eastAsia="Arial" w:hAnsi="Arial"/>
          <w:sz w:val="14"/>
          <w:szCs w:val="14"/>
          <w:color w:val="auto"/>
        </w:rPr>
        <w:t>The amounts included in this column reflect the aggregate grant date fair value of RSUs granted during 2022, 2023 and 2024 based on the closing market price of the Company’s common stock on the date of grant.</w:t>
      </w:r>
    </w:p>
    <w:p>
      <w:pPr>
        <w:ind w:left="500" w:right="120" w:hanging="492"/>
        <w:spacing w:after="0" w:line="257" w:lineRule="auto"/>
        <w:tabs>
          <w:tab w:leader="none" w:pos="497" w:val="left"/>
        </w:tabs>
        <w:numPr>
          <w:ilvl w:val="0"/>
          <w:numId w:val="30"/>
        </w:numPr>
        <w:rPr>
          <w:rFonts w:ascii="Arial" w:cs="Arial" w:eastAsia="Arial" w:hAnsi="Arial"/>
          <w:sz w:val="11"/>
          <w:szCs w:val="11"/>
          <w:color w:val="auto"/>
        </w:rPr>
      </w:pPr>
      <w:r>
        <w:rPr>
          <w:rFonts w:ascii="Arial" w:cs="Arial" w:eastAsia="Arial" w:hAnsi="Arial"/>
          <w:sz w:val="14"/>
          <w:szCs w:val="14"/>
          <w:color w:val="auto"/>
        </w:rPr>
        <w:t>The amounts included in this column reflect the aggregate grant date fair value of stock options granted during 2022, 2023 and 2024 computed in accordance with the provisions of Accounting Standards Codification (ASC) 718, Compensation—Stock Compensation. The assumptions that we used to calculate these amounts are discussed in Note 9 to our audited Consolidated Financial Statements for the year ended December 31, 2024 included in our Annual Report on Form 10-K for the year ended December 31, 2024. These amounts do not reflect the actual economic value that will be realized by the NEO upon the vesting of the stock options, the exercise of the stock options, or the sale of the common stock underlying such stock options.</w:t>
      </w:r>
    </w:p>
    <w:p>
      <w:pPr>
        <w:spacing w:after="0" w:line="2" w:lineRule="exact"/>
        <w:rPr>
          <w:rFonts w:ascii="Arial" w:cs="Arial" w:eastAsia="Arial" w:hAnsi="Arial"/>
          <w:sz w:val="11"/>
          <w:szCs w:val="11"/>
          <w:color w:val="auto"/>
        </w:rPr>
      </w:pPr>
    </w:p>
    <w:p>
      <w:pPr>
        <w:ind w:left="500" w:hanging="492"/>
        <w:spacing w:after="0"/>
        <w:tabs>
          <w:tab w:leader="none" w:pos="500" w:val="left"/>
        </w:tabs>
        <w:numPr>
          <w:ilvl w:val="0"/>
          <w:numId w:val="30"/>
        </w:numPr>
        <w:rPr>
          <w:rFonts w:ascii="Arial" w:cs="Arial" w:eastAsia="Arial" w:hAnsi="Arial"/>
          <w:sz w:val="11"/>
          <w:szCs w:val="11"/>
          <w:color w:val="auto"/>
        </w:rPr>
      </w:pPr>
      <w:r>
        <w:rPr>
          <w:rFonts w:ascii="Arial" w:cs="Arial" w:eastAsia="Arial" w:hAnsi="Arial"/>
          <w:sz w:val="14"/>
          <w:szCs w:val="14"/>
          <w:color w:val="auto"/>
        </w:rPr>
        <w:t>The amounts included in this column reflect the dollar value of employer 401(k) matching contributions paid to each named executive officer.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Year 2024</w:t>
      </w:r>
    </w:p>
    <w:p>
      <w:pPr>
        <w:spacing w:after="0" w:line="185" w:lineRule="exact"/>
        <w:rPr>
          <w:sz w:val="20"/>
          <w:szCs w:val="20"/>
          <w:color w:val="auto"/>
        </w:rPr>
      </w:pPr>
    </w:p>
    <w:p>
      <w:pPr>
        <w:ind w:right="180" w:firstLine="486"/>
        <w:spacing w:after="0" w:line="287" w:lineRule="auto"/>
        <w:rPr>
          <w:sz w:val="20"/>
          <w:szCs w:val="20"/>
          <w:color w:val="auto"/>
        </w:rPr>
      </w:pPr>
      <w:r>
        <w:rPr>
          <w:rFonts w:ascii="Arial" w:cs="Arial" w:eastAsia="Arial" w:hAnsi="Arial"/>
          <w:sz w:val="18"/>
          <w:szCs w:val="18"/>
          <w:color w:val="auto"/>
        </w:rPr>
        <w:t>The following table provides information regarding grants of plan-based awards to our named executive officers during the fiscal year ended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 stock</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 option</w:t>
            </w:r>
          </w:p>
        </w:tc>
        <w:tc>
          <w:tcPr>
            <w:tcW w:w="1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Exercise or base price</w:t>
            </w:r>
          </w:p>
        </w:tc>
        <w:tc>
          <w:tcPr>
            <w:tcW w:w="100" w:type="dxa"/>
            <w:vAlign w:val="bottom"/>
          </w:tcPr>
          <w:p>
            <w:pPr>
              <w:spacing w:after="0"/>
              <w:rPr>
                <w:sz w:val="14"/>
                <w:szCs w:val="14"/>
                <w:color w:val="auto"/>
              </w:rPr>
            </w:pPr>
          </w:p>
        </w:tc>
        <w:tc>
          <w:tcPr>
            <w:tcW w:w="15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awards: Number of</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awards: Number of</w:t>
            </w:r>
          </w:p>
        </w:tc>
        <w:tc>
          <w:tcPr>
            <w:tcW w:w="1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68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120" w:type="dxa"/>
            <w:vAlign w:val="bottom"/>
            <w:vMerge w:val="restart"/>
          </w:tcPr>
          <w:p>
            <w:pPr>
              <w:spacing w:after="0"/>
              <w:rPr>
                <w:sz w:val="11"/>
                <w:szCs w:val="11"/>
                <w:color w:val="auto"/>
              </w:rPr>
            </w:pPr>
          </w:p>
        </w:tc>
        <w:tc>
          <w:tcPr>
            <w:tcW w:w="170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rPr>
              <w:t>shares of stock or</w:t>
            </w:r>
          </w:p>
        </w:tc>
        <w:tc>
          <w:tcPr>
            <w:tcW w:w="1720" w:type="dxa"/>
            <w:vAlign w:val="bottom"/>
            <w:gridSpan w:val="2"/>
          </w:tcPr>
          <w:p>
            <w:pPr>
              <w:jc w:val="center"/>
              <w:ind w:right="120"/>
              <w:spacing w:after="0" w:line="137" w:lineRule="exact"/>
              <w:rPr>
                <w:sz w:val="20"/>
                <w:szCs w:val="20"/>
                <w:color w:val="auto"/>
              </w:rPr>
            </w:pPr>
            <w:r>
              <w:rPr>
                <w:rFonts w:ascii="Arial" w:cs="Arial" w:eastAsia="Arial" w:hAnsi="Arial"/>
                <w:sz w:val="14"/>
                <w:szCs w:val="14"/>
                <w:b w:val="1"/>
                <w:bCs w:val="1"/>
                <w:color w:val="auto"/>
              </w:rPr>
              <w:t>securities underlying</w:t>
            </w:r>
          </w:p>
        </w:tc>
        <w:tc>
          <w:tcPr>
            <w:tcW w:w="120" w:type="dxa"/>
            <w:vAlign w:val="bottom"/>
          </w:tcPr>
          <w:p>
            <w:pPr>
              <w:spacing w:after="0"/>
              <w:rPr>
                <w:sz w:val="11"/>
                <w:szCs w:val="11"/>
                <w:color w:val="auto"/>
              </w:rPr>
            </w:pPr>
          </w:p>
        </w:tc>
        <w:tc>
          <w:tcPr>
            <w:tcW w:w="1600" w:type="dxa"/>
            <w:vAlign w:val="bottom"/>
            <w:gridSpan w:val="2"/>
          </w:tcPr>
          <w:p>
            <w:pPr>
              <w:jc w:val="center"/>
              <w:ind w:right="240"/>
              <w:spacing w:after="0" w:line="137" w:lineRule="exact"/>
              <w:rPr>
                <w:sz w:val="20"/>
                <w:szCs w:val="20"/>
                <w:color w:val="auto"/>
              </w:rPr>
            </w:pPr>
            <w:r>
              <w:rPr>
                <w:rFonts w:ascii="Arial" w:cs="Arial" w:eastAsia="Arial" w:hAnsi="Arial"/>
                <w:sz w:val="14"/>
                <w:szCs w:val="14"/>
                <w:b w:val="1"/>
                <w:bCs w:val="1"/>
                <w:color w:val="auto"/>
              </w:rPr>
              <w:t>of stock and option</w:t>
            </w:r>
          </w:p>
        </w:tc>
        <w:tc>
          <w:tcPr>
            <w:tcW w:w="100" w:type="dxa"/>
            <w:vAlign w:val="bottom"/>
          </w:tcPr>
          <w:p>
            <w:pPr>
              <w:spacing w:after="0"/>
              <w:rPr>
                <w:sz w:val="11"/>
                <w:szCs w:val="11"/>
                <w:color w:val="auto"/>
              </w:rPr>
            </w:pPr>
          </w:p>
        </w:tc>
        <w:tc>
          <w:tcPr>
            <w:tcW w:w="1500" w:type="dxa"/>
            <w:vAlign w:val="bottom"/>
          </w:tcPr>
          <w:p>
            <w:pPr>
              <w:jc w:val="center"/>
              <w:ind w:right="34"/>
              <w:spacing w:after="0" w:line="137" w:lineRule="exact"/>
              <w:rPr>
                <w:sz w:val="20"/>
                <w:szCs w:val="20"/>
                <w:color w:val="auto"/>
              </w:rPr>
            </w:pPr>
            <w:r>
              <w:rPr>
                <w:rFonts w:ascii="Arial" w:cs="Arial" w:eastAsia="Arial" w:hAnsi="Arial"/>
                <w:sz w:val="14"/>
                <w:szCs w:val="14"/>
                <w:b w:val="1"/>
                <w:bCs w:val="1"/>
                <w:color w:val="auto"/>
              </w:rPr>
              <w:t>of stock and option</w:t>
            </w:r>
          </w:p>
        </w:tc>
        <w:tc>
          <w:tcPr>
            <w:tcW w:w="0" w:type="dxa"/>
            <w:vAlign w:val="bottom"/>
          </w:tcPr>
          <w:p>
            <w:pPr>
              <w:spacing w:after="0"/>
              <w:rPr>
                <w:sz w:val="1"/>
                <w:szCs w:val="1"/>
                <w:color w:val="auto"/>
              </w:rPr>
            </w:pPr>
          </w:p>
        </w:tc>
      </w:tr>
      <w:tr>
        <w:trPr>
          <w:trHeight w:val="201"/>
        </w:trPr>
        <w:tc>
          <w:tcPr>
            <w:tcW w:w="2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95"/>
              </w:rPr>
              <w:t>units</w:t>
            </w:r>
            <w:r>
              <w:rPr>
                <w:rFonts w:ascii="Arial" w:cs="Arial" w:eastAsia="Arial" w:hAnsi="Arial"/>
                <w:sz w:val="18"/>
                <w:szCs w:val="18"/>
                <w:b w:val="1"/>
                <w:bCs w:val="1"/>
                <w:color w:val="auto"/>
                <w:w w:val="95"/>
                <w:vertAlign w:val="superscript"/>
              </w:rPr>
              <w:t>(1)</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8"/>
                <w:szCs w:val="18"/>
                <w:b w:val="1"/>
                <w:bCs w:val="1"/>
                <w:color w:val="auto"/>
                <w:w w:val="98"/>
                <w:vertAlign w:val="superscript"/>
              </w:rPr>
              <w:t>(2)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55"/>
              <w:spacing w:after="0" w:line="201" w:lineRule="exact"/>
              <w:rPr>
                <w:sz w:val="20"/>
                <w:szCs w:val="20"/>
                <w:color w:val="auto"/>
              </w:rPr>
            </w:pPr>
            <w:r>
              <w:rPr>
                <w:rFonts w:ascii="Arial" w:cs="Arial" w:eastAsia="Arial" w:hAnsi="Arial"/>
                <w:sz w:val="14"/>
                <w:szCs w:val="14"/>
                <w:b w:val="1"/>
                <w:bCs w:val="1"/>
                <w:color w:val="auto"/>
                <w:w w:val="98"/>
              </w:rPr>
              <w:t>awards($/share)</w:t>
            </w:r>
            <w:r>
              <w:rPr>
                <w:rFonts w:ascii="Arial" w:cs="Arial" w:eastAsia="Arial" w:hAnsi="Arial"/>
                <w:sz w:val="18"/>
                <w:szCs w:val="18"/>
                <w:b w:val="1"/>
                <w:bCs w:val="1"/>
                <w:color w:val="auto"/>
                <w:w w:val="98"/>
                <w:vertAlign w:val="superscript"/>
              </w:rPr>
              <w:t>(3)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4"/>
              <w:spacing w:after="0" w:line="201" w:lineRule="exact"/>
              <w:rPr>
                <w:sz w:val="20"/>
                <w:szCs w:val="20"/>
                <w:color w:val="auto"/>
              </w:rPr>
            </w:pPr>
            <w:r>
              <w:rPr>
                <w:rFonts w:ascii="Arial" w:cs="Arial" w:eastAsia="Arial" w:hAnsi="Arial"/>
                <w:sz w:val="14"/>
                <w:szCs w:val="14"/>
                <w:b w:val="1"/>
                <w:bCs w:val="1"/>
                <w:color w:val="auto"/>
                <w:w w:val="95"/>
              </w:rPr>
              <w:t>awards</w:t>
            </w:r>
            <w:r>
              <w:rPr>
                <w:rFonts w:ascii="Arial" w:cs="Arial" w:eastAsia="Arial" w:hAnsi="Arial"/>
                <w:sz w:val="18"/>
                <w:szCs w:val="18"/>
                <w:b w:val="1"/>
                <w:bCs w:val="1"/>
                <w:color w:val="auto"/>
                <w:w w:val="95"/>
                <w:vertAlign w:val="superscript"/>
              </w:rPr>
              <w:t>(4)</w:t>
            </w:r>
          </w:p>
        </w:tc>
        <w:tc>
          <w:tcPr>
            <w:tcW w:w="0" w:type="dxa"/>
            <w:vAlign w:val="bottom"/>
          </w:tcPr>
          <w:p>
            <w:pPr>
              <w:spacing w:after="0"/>
              <w:rPr>
                <w:sz w:val="1"/>
                <w:szCs w:val="1"/>
                <w:color w:val="auto"/>
              </w:rPr>
            </w:pPr>
          </w:p>
        </w:tc>
      </w:tr>
      <w:tr>
        <w:trPr>
          <w:trHeight w:val="19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01/03/2024</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268,560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3,405,851</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01/03/2024</w:t>
            </w: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89,520</w:t>
            </w:r>
          </w:p>
        </w:tc>
        <w:tc>
          <w:tcPr>
            <w:tcW w:w="120" w:type="dxa"/>
            <w:vAlign w:val="bottom"/>
          </w:tcPr>
          <w:p>
            <w:pPr>
              <w:spacing w:after="0"/>
              <w:rPr>
                <w:sz w:val="14"/>
                <w:szCs w:val="1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20.33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1,819,942</w:t>
            </w:r>
          </w:p>
        </w:tc>
        <w:tc>
          <w:tcPr>
            <w:tcW w:w="0" w:type="dxa"/>
            <w:vAlign w:val="bottom"/>
          </w:tcPr>
          <w:p>
            <w:pPr>
              <w:spacing w:after="0"/>
              <w:rPr>
                <w:sz w:val="1"/>
                <w:szCs w:val="1"/>
                <w:color w:val="auto"/>
              </w:rPr>
            </w:pPr>
          </w:p>
        </w:tc>
      </w:tr>
      <w:tr>
        <w:trPr>
          <w:trHeight w:val="207"/>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Alexander O. Schuth, M.D.</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2,043,815</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01/03/2024</w:t>
            </w: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53,720</w:t>
            </w:r>
          </w:p>
        </w:tc>
        <w:tc>
          <w:tcPr>
            <w:tcW w:w="120" w:type="dxa"/>
            <w:vAlign w:val="bottom"/>
          </w:tcPr>
          <w:p>
            <w:pPr>
              <w:spacing w:after="0"/>
              <w:rPr>
                <w:sz w:val="14"/>
                <w:szCs w:val="1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20.33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1,092,128</w:t>
            </w:r>
          </w:p>
        </w:tc>
        <w:tc>
          <w:tcPr>
            <w:tcW w:w="0" w:type="dxa"/>
            <w:vAlign w:val="bottom"/>
          </w:tcPr>
          <w:p>
            <w:pPr>
              <w:spacing w:after="0"/>
              <w:rPr>
                <w:sz w:val="1"/>
                <w:szCs w:val="1"/>
                <w:color w:val="auto"/>
              </w:rPr>
            </w:pPr>
          </w:p>
        </w:tc>
      </w:tr>
      <w:tr>
        <w:trPr>
          <w:trHeight w:val="207"/>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1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2,043,815</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01/03/2024</w:t>
            </w: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53,720</w:t>
            </w:r>
          </w:p>
        </w:tc>
        <w:tc>
          <w:tcPr>
            <w:tcW w:w="120" w:type="dxa"/>
            <w:vAlign w:val="bottom"/>
          </w:tcPr>
          <w:p>
            <w:pPr>
              <w:spacing w:after="0"/>
              <w:rPr>
                <w:sz w:val="14"/>
                <w:szCs w:val="1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20.33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1,092,128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0346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18" w:lineRule="exact"/>
        <w:rPr>
          <w:sz w:val="20"/>
          <w:szCs w:val="20"/>
          <w:color w:val="auto"/>
        </w:rPr>
      </w:pPr>
    </w:p>
    <w:p>
      <w:pPr>
        <w:ind w:left="500" w:right="800" w:hanging="492"/>
        <w:spacing w:after="0" w:line="272" w:lineRule="auto"/>
        <w:tabs>
          <w:tab w:leader="none" w:pos="497" w:val="left"/>
        </w:tabs>
        <w:numPr>
          <w:ilvl w:val="0"/>
          <w:numId w:val="31"/>
        </w:numPr>
        <w:rPr>
          <w:rFonts w:ascii="Arial" w:cs="Arial" w:eastAsia="Arial" w:hAnsi="Arial"/>
          <w:sz w:val="11"/>
          <w:szCs w:val="11"/>
          <w:color w:val="auto"/>
        </w:rPr>
      </w:pPr>
      <w:r>
        <w:rPr>
          <w:rFonts w:ascii="Arial" w:cs="Arial" w:eastAsia="Arial" w:hAnsi="Arial"/>
          <w:sz w:val="14"/>
          <w:szCs w:val="14"/>
          <w:color w:val="auto"/>
        </w:rPr>
        <w:t>RSUs subject to time-based vesting criteria established by the Compensation Committee and described in the footnotes to the Outstanding Equity Awards at December 31, 2024 table below.</w:t>
      </w:r>
    </w:p>
    <w:p>
      <w:pPr>
        <w:ind w:left="500" w:right="680" w:hanging="492"/>
        <w:spacing w:after="0" w:line="251" w:lineRule="auto"/>
        <w:tabs>
          <w:tab w:leader="none" w:pos="497" w:val="left"/>
        </w:tabs>
        <w:numPr>
          <w:ilvl w:val="0"/>
          <w:numId w:val="31"/>
        </w:numPr>
        <w:rPr>
          <w:rFonts w:ascii="Arial" w:cs="Arial" w:eastAsia="Arial" w:hAnsi="Arial"/>
          <w:sz w:val="11"/>
          <w:szCs w:val="11"/>
          <w:color w:val="auto"/>
        </w:rPr>
      </w:pPr>
      <w:r>
        <w:rPr>
          <w:rFonts w:ascii="Arial" w:cs="Arial" w:eastAsia="Arial" w:hAnsi="Arial"/>
          <w:sz w:val="14"/>
          <w:szCs w:val="14"/>
          <w:color w:val="auto"/>
        </w:rPr>
        <w:t>Options subject to time-based vesting criteria established by the Compensation Committee and described in the footnotes to the Outstanding Equity Awards at December 31, 2024 table below.</w:t>
      </w:r>
    </w:p>
    <w:p>
      <w:pPr>
        <w:ind w:left="500" w:hanging="492"/>
        <w:spacing w:after="0"/>
        <w:tabs>
          <w:tab w:leader="none" w:pos="500" w:val="left"/>
        </w:tabs>
        <w:numPr>
          <w:ilvl w:val="0"/>
          <w:numId w:val="31"/>
        </w:numPr>
        <w:rPr>
          <w:rFonts w:ascii="Arial" w:cs="Arial" w:eastAsia="Arial" w:hAnsi="Arial"/>
          <w:sz w:val="11"/>
          <w:szCs w:val="11"/>
          <w:color w:val="auto"/>
        </w:rPr>
      </w:pPr>
      <w:r>
        <w:rPr>
          <w:rFonts w:ascii="Arial" w:cs="Arial" w:eastAsia="Arial" w:hAnsi="Arial"/>
          <w:sz w:val="14"/>
          <w:szCs w:val="14"/>
          <w:color w:val="auto"/>
        </w:rPr>
        <w:t>The exercise price of these stock options is equal to the closing price of our common stock on the NASDAQ Global Select Market on the grant date.</w:t>
      </w:r>
    </w:p>
    <w:p>
      <w:pPr>
        <w:spacing w:after="0" w:line="14" w:lineRule="exact"/>
        <w:rPr>
          <w:rFonts w:ascii="Arial" w:cs="Arial" w:eastAsia="Arial" w:hAnsi="Arial"/>
          <w:sz w:val="11"/>
          <w:szCs w:val="11"/>
          <w:color w:val="auto"/>
        </w:rPr>
      </w:pPr>
    </w:p>
    <w:p>
      <w:pPr>
        <w:ind w:left="500" w:right="20" w:hanging="492"/>
        <w:spacing w:after="0" w:line="262" w:lineRule="auto"/>
        <w:tabs>
          <w:tab w:leader="none" w:pos="497" w:val="left"/>
        </w:tabs>
        <w:numPr>
          <w:ilvl w:val="0"/>
          <w:numId w:val="31"/>
        </w:numPr>
        <w:rPr>
          <w:rFonts w:ascii="Arial" w:cs="Arial" w:eastAsia="Arial" w:hAnsi="Arial"/>
          <w:sz w:val="11"/>
          <w:szCs w:val="11"/>
          <w:color w:val="auto"/>
        </w:rPr>
      </w:pPr>
      <w:r>
        <w:rPr>
          <w:rFonts w:ascii="Arial" w:cs="Arial" w:eastAsia="Arial" w:hAnsi="Arial"/>
          <w:sz w:val="14"/>
          <w:szCs w:val="14"/>
          <w:color w:val="auto"/>
        </w:rPr>
        <w:t>Amounts represent the grant date fair value of the named executive officer’s stock options and RSUs, calculated in accordance with the provisions of Accounting Standards Codification (ASC) 718, Compensation—Stock Compensation. The grant date fair value of our RSUs is based on the closing market price of the Company’s common stock on the date of grant. The grant date fair value of our stock options is calculated using a Black-Scholes valuation model. The assumptions that we used to calculate these amounts are discussed in Note 9 to our audited Consolidated Financial Statements for the year ended December 31, 2024 included in our Annual Report on Form 10-K for the year ended December 31, 2024.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2024</w:t>
      </w:r>
    </w:p>
    <w:p>
      <w:pPr>
        <w:spacing w:after="0" w:line="185" w:lineRule="exact"/>
        <w:rPr>
          <w:sz w:val="20"/>
          <w:szCs w:val="20"/>
          <w:color w:val="auto"/>
        </w:rPr>
      </w:pPr>
    </w:p>
    <w:p>
      <w:pPr>
        <w:ind w:right="240" w:firstLine="486"/>
        <w:spacing w:after="0" w:line="287" w:lineRule="auto"/>
        <w:rPr>
          <w:sz w:val="20"/>
          <w:szCs w:val="20"/>
          <w:color w:val="auto"/>
        </w:rPr>
      </w:pPr>
      <w:r>
        <w:rPr>
          <w:rFonts w:ascii="Arial" w:cs="Arial" w:eastAsia="Arial" w:hAnsi="Arial"/>
          <w:sz w:val="18"/>
          <w:szCs w:val="18"/>
          <w:color w:val="auto"/>
        </w:rPr>
        <w:t>The following table shows certain information concerning option exercises and value realized upon the exercise of stock options and the vesting of RSU grants by our named executive officers during the fiscal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Option Awards</w:t>
            </w:r>
          </w:p>
        </w:tc>
        <w:tc>
          <w:tcPr>
            <w:tcW w:w="1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auto"/>
            </w:tcBorders>
            <w:gridSpan w:val="4"/>
          </w:tcPr>
          <w:p>
            <w:pPr>
              <w:jc w:val="right"/>
              <w:ind w:right="152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3"/>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Number of shares acquired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700"/>
              <w:spacing w:after="0" w:line="143" w:lineRule="exact"/>
              <w:rPr>
                <w:sz w:val="20"/>
                <w:szCs w:val="20"/>
                <w:color w:val="auto"/>
              </w:rPr>
            </w:pPr>
            <w:r>
              <w:rPr>
                <w:rFonts w:ascii="Arial" w:cs="Arial" w:eastAsia="Arial" w:hAnsi="Arial"/>
                <w:sz w:val="14"/>
                <w:szCs w:val="14"/>
                <w:b w:val="1"/>
                <w:bCs w:val="1"/>
                <w:color w:val="auto"/>
                <w:w w:val="96"/>
              </w:rPr>
              <w:t>Value</w:t>
            </w:r>
          </w:p>
        </w:tc>
        <w:tc>
          <w:tcPr>
            <w:tcW w:w="2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 acquired</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rPr>
              <w:t>realized on</w:t>
            </w:r>
          </w:p>
        </w:tc>
        <w:tc>
          <w:tcPr>
            <w:tcW w:w="2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Value realized on vesting</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on exercise</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08"/>
              <w:spacing w:after="0" w:line="189" w:lineRule="exact"/>
              <w:rPr>
                <w:sz w:val="20"/>
                <w:szCs w:val="20"/>
                <w:color w:val="auto"/>
              </w:rPr>
            </w:pPr>
            <w:r>
              <w:rPr>
                <w:rFonts w:ascii="Arial" w:cs="Arial" w:eastAsia="Arial" w:hAnsi="Arial"/>
                <w:sz w:val="14"/>
                <w:szCs w:val="14"/>
                <w:b w:val="1"/>
                <w:bCs w:val="1"/>
                <w:color w:val="auto"/>
                <w:w w:val="96"/>
              </w:rPr>
              <w:t>exercise</w:t>
            </w:r>
            <w:r>
              <w:rPr>
                <w:rFonts w:ascii="Arial" w:cs="Arial" w:eastAsia="Arial" w:hAnsi="Arial"/>
                <w:sz w:val="18"/>
                <w:szCs w:val="18"/>
                <w:b w:val="1"/>
                <w:bCs w:val="1"/>
                <w:color w:val="auto"/>
                <w:w w:val="96"/>
                <w:vertAlign w:val="superscript"/>
              </w:rPr>
              <w:t>(1)</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on vesting</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1,080,276</w:t>
            </w: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1,507,781</w:t>
            </w:r>
          </w:p>
        </w:tc>
        <w:tc>
          <w:tcPr>
            <w:tcW w:w="0" w:type="dxa"/>
            <w:vAlign w:val="bottom"/>
          </w:tcPr>
          <w:p>
            <w:pPr>
              <w:spacing w:after="0"/>
              <w:rPr>
                <w:sz w:val="1"/>
                <w:szCs w:val="1"/>
                <w:color w:val="auto"/>
              </w:rPr>
            </w:pPr>
          </w:p>
        </w:tc>
      </w:tr>
      <w:tr>
        <w:trPr>
          <w:trHeight w:val="199"/>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Alexander O. Schuth, M.D.</w:t>
            </w:r>
          </w:p>
        </w:tc>
        <w:tc>
          <w:tcPr>
            <w:tcW w:w="2020" w:type="dxa"/>
            <w:vAlign w:val="bottom"/>
          </w:tcPr>
          <w:p>
            <w:pPr>
              <w:jc w:val="right"/>
              <w:spacing w:after="0"/>
              <w:rPr>
                <w:sz w:val="20"/>
                <w:szCs w:val="20"/>
                <w:color w:val="auto"/>
              </w:rPr>
            </w:pPr>
            <w:r>
              <w:rPr>
                <w:rFonts w:ascii="Arial" w:cs="Arial" w:eastAsia="Arial" w:hAnsi="Arial"/>
                <w:sz w:val="14"/>
                <w:szCs w:val="14"/>
                <w:color w:val="auto"/>
              </w:rPr>
              <w:t>92,782</w:t>
            </w:r>
          </w:p>
        </w:tc>
        <w:tc>
          <w:tcPr>
            <w:tcW w:w="7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1,804,611</w:t>
            </w:r>
          </w:p>
        </w:tc>
        <w:tc>
          <w:tcPr>
            <w:tcW w:w="12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43,441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891,131</w:t>
            </w: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17,845</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425,068</w:t>
            </w: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43,624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894,434</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right="100" w:hanging="492"/>
        <w:spacing w:after="0" w:line="261" w:lineRule="auto"/>
        <w:tabs>
          <w:tab w:leader="none" w:pos="497"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The value realized upon the exercise of stock options is calculated by (a) subtracting the stock option exercise price from the market price on the date of exercise to get the realized value per share, and (b) multiplying the realized value per share by the number of shares underlying the stock options exercised.</w:t>
      </w:r>
    </w:p>
    <w:p>
      <w:pPr>
        <w:spacing w:after="0" w:line="1" w:lineRule="exact"/>
        <w:rPr>
          <w:rFonts w:ascii="Arial" w:cs="Arial" w:eastAsia="Arial" w:hAnsi="Arial"/>
          <w:sz w:val="11"/>
          <w:szCs w:val="11"/>
          <w:color w:val="auto"/>
        </w:rPr>
      </w:pPr>
    </w:p>
    <w:p>
      <w:pPr>
        <w:ind w:left="500" w:right="120" w:hanging="492"/>
        <w:spacing w:after="0" w:line="284" w:lineRule="auto"/>
        <w:tabs>
          <w:tab w:leader="none" w:pos="497" w:val="left"/>
        </w:tabs>
        <w:numPr>
          <w:ilvl w:val="0"/>
          <w:numId w:val="32"/>
        </w:numPr>
        <w:rPr>
          <w:rFonts w:ascii="Arial" w:cs="Arial" w:eastAsia="Arial" w:hAnsi="Arial"/>
          <w:sz w:val="11"/>
          <w:szCs w:val="11"/>
          <w:color w:val="auto"/>
        </w:rPr>
      </w:pPr>
      <w:r>
        <w:rPr>
          <w:rFonts w:ascii="Arial" w:cs="Arial" w:eastAsia="Arial" w:hAnsi="Arial"/>
          <w:sz w:val="14"/>
          <w:szCs w:val="14"/>
          <w:color w:val="auto"/>
        </w:rPr>
        <w:t>The value realized upon vesting of restricted stock and RSUs is calculated by multiplying the number of shares of restricted stock and RSUs vested by the market price on the vest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2024 Fiscal Year End</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equity awards held by our named executive officers as of December 31, 2024.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ind w:left="118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Number of</w:t>
            </w:r>
          </w:p>
        </w:tc>
        <w:tc>
          <w:tcPr>
            <w:tcW w:w="12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Equity incentive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awards: number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Securities</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Securities</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securities</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Option</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Market Value of</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3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underlying</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4"/>
              </w:rPr>
              <w:t>Shares of</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Unexercised</w:t>
            </w:r>
          </w:p>
        </w:tc>
        <w:tc>
          <w:tcPr>
            <w:tcW w:w="13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Unexercised</w:t>
            </w: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unexercised</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Exercise</w:t>
            </w:r>
          </w:p>
        </w:tc>
        <w:tc>
          <w:tcPr>
            <w:tcW w:w="1020" w:type="dxa"/>
            <w:vAlign w:val="bottom"/>
            <w:gridSpan w:val="2"/>
            <w:vMerge w:val="continue"/>
          </w:tcPr>
          <w:p>
            <w:pPr>
              <w:spacing w:after="0"/>
              <w:rPr>
                <w:sz w:val="10"/>
                <w:szCs w:val="10"/>
                <w:color w:val="auto"/>
              </w:rPr>
            </w:pP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Stock That</w:t>
            </w:r>
          </w:p>
        </w:tc>
        <w:tc>
          <w:tcPr>
            <w:tcW w:w="102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w w:val="97"/>
              </w:rPr>
              <w:t>Shares of Stock</w:t>
            </w:r>
          </w:p>
        </w:tc>
        <w:tc>
          <w:tcPr>
            <w:tcW w:w="0" w:type="dxa"/>
            <w:vAlign w:val="bottom"/>
          </w:tcPr>
          <w:p>
            <w:pPr>
              <w:spacing w:after="0"/>
              <w:rPr>
                <w:sz w:val="1"/>
                <w:szCs w:val="1"/>
                <w:color w:val="auto"/>
              </w:rPr>
            </w:pPr>
          </w:p>
        </w:tc>
      </w:tr>
      <w:tr>
        <w:trPr>
          <w:trHeight w:val="135"/>
        </w:trPr>
        <w:tc>
          <w:tcPr>
            <w:tcW w:w="1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Grant Date</w:t>
            </w:r>
            <w:r>
              <w:rPr>
                <w:rFonts w:ascii="Arial" w:cs="Arial" w:eastAsia="Arial" w:hAnsi="Arial"/>
                <w:sz w:val="16"/>
                <w:szCs w:val="16"/>
                <w:b w:val="1"/>
                <w:bCs w:val="1"/>
                <w:color w:val="auto"/>
                <w:w w:val="93"/>
                <w:vertAlign w:val="superscript"/>
              </w:rPr>
              <w:t>(1)</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Notes</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Options (#)</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Options (#)</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unearned options</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Price (per</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Expiration</w:t>
            </w: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9"/>
              </w:rPr>
              <w:t>Have Not</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That Have Not</w:t>
            </w:r>
          </w:p>
        </w:tc>
        <w:tc>
          <w:tcPr>
            <w:tcW w:w="0" w:type="dxa"/>
            <w:vAlign w:val="bottom"/>
          </w:tcPr>
          <w:p>
            <w:pPr>
              <w:spacing w:after="0"/>
              <w:rPr>
                <w:sz w:val="1"/>
                <w:szCs w:val="1"/>
                <w:color w:val="auto"/>
              </w:rPr>
            </w:pPr>
          </w:p>
        </w:tc>
      </w:tr>
      <w:tr>
        <w:trPr>
          <w:trHeight w:val="176"/>
        </w:trPr>
        <w:tc>
          <w:tcPr>
            <w:tcW w:w="19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Exercisable</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Unexercisable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line="175" w:lineRule="exact"/>
              <w:rPr>
                <w:sz w:val="20"/>
                <w:szCs w:val="20"/>
                <w:color w:val="auto"/>
              </w:rPr>
            </w:pPr>
            <w:r>
              <w:rPr>
                <w:rFonts w:ascii="Arial" w:cs="Arial" w:eastAsia="Arial" w:hAnsi="Arial"/>
                <w:sz w:val="13"/>
                <w:szCs w:val="13"/>
                <w:b w:val="1"/>
                <w:bCs w:val="1"/>
                <w:color w:val="auto"/>
                <w:w w:val="92"/>
              </w:rPr>
              <w:t>share)</w:t>
            </w:r>
            <w:r>
              <w:rPr>
                <w:rFonts w:ascii="Arial" w:cs="Arial" w:eastAsia="Arial" w:hAnsi="Arial"/>
                <w:sz w:val="16"/>
                <w:szCs w:val="16"/>
                <w:b w:val="1"/>
                <w:bCs w:val="1"/>
                <w:color w:val="auto"/>
                <w:w w:val="92"/>
                <w:vertAlign w:val="superscript"/>
              </w:rPr>
              <w:t>(2)</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Vested (#)</w:t>
            </w:r>
          </w:p>
        </w:tc>
        <w:tc>
          <w:tcPr>
            <w:tcW w:w="180" w:type="dxa"/>
            <w:vAlign w:val="bottom"/>
          </w:tcPr>
          <w:p>
            <w:pPr>
              <w:spacing w:after="0"/>
              <w:rPr>
                <w:sz w:val="15"/>
                <w:szCs w:val="15"/>
                <w:color w:val="auto"/>
              </w:rPr>
            </w:pPr>
          </w:p>
        </w:tc>
        <w:tc>
          <w:tcPr>
            <w:tcW w:w="840" w:type="dxa"/>
            <w:vAlign w:val="bottom"/>
          </w:tcPr>
          <w:p>
            <w:pPr>
              <w:jc w:val="center"/>
              <w:ind w:right="117"/>
              <w:spacing w:after="0" w:line="175" w:lineRule="exact"/>
              <w:rPr>
                <w:sz w:val="20"/>
                <w:szCs w:val="20"/>
                <w:color w:val="auto"/>
              </w:rPr>
            </w:pPr>
            <w:r>
              <w:rPr>
                <w:rFonts w:ascii="Arial" w:cs="Arial" w:eastAsia="Arial" w:hAnsi="Arial"/>
                <w:sz w:val="13"/>
                <w:szCs w:val="13"/>
                <w:b w:val="1"/>
                <w:bCs w:val="1"/>
                <w:color w:val="auto"/>
                <w:w w:val="89"/>
              </w:rPr>
              <w:t>Vested</w:t>
            </w:r>
            <w:r>
              <w:rPr>
                <w:rFonts w:ascii="Arial" w:cs="Arial" w:eastAsia="Arial" w:hAnsi="Arial"/>
                <w:sz w:val="16"/>
                <w:szCs w:val="16"/>
                <w:b w:val="1"/>
                <w:bCs w:val="1"/>
                <w:color w:val="auto"/>
                <w:w w:val="89"/>
                <w:vertAlign w:val="superscript"/>
              </w:rPr>
              <w:t>(3)</w:t>
            </w:r>
          </w:p>
        </w:tc>
        <w:tc>
          <w:tcPr>
            <w:tcW w:w="0" w:type="dxa"/>
            <w:vAlign w:val="bottom"/>
          </w:tcPr>
          <w:p>
            <w:pPr>
              <w:spacing w:after="0"/>
              <w:rPr>
                <w:sz w:val="1"/>
                <w:szCs w:val="1"/>
                <w:color w:val="auto"/>
              </w:rPr>
            </w:pPr>
          </w:p>
        </w:tc>
      </w:tr>
      <w:tr>
        <w:trPr>
          <w:trHeight w:val="169"/>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Ryan J. Watts, Ph.D.</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08/21/2015</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455,282</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622,809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0.68</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08/20/2025</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03/08/2017</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60,369</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03/08/2027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56,382</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08/22/2027</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02/26/2018</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300,000</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22.16</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02/26/2028</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02/08/2019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281,600</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02/08/2029</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02/10/2020</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367,675</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24.81</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02/10/2030</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01/04/2021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176,247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3,753</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01/04/2031</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01/04/2021</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305,700</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135,988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50,512</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01/03/2032</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01/03/2022</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631,780</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118,219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128,501</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01/03/2033</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01/03/2023</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61,680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1,257,038</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268,560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01/03/2034</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01/03/2024</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89,520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1,824,418</w:t>
            </w:r>
          </w:p>
        </w:tc>
        <w:tc>
          <w:tcPr>
            <w:tcW w:w="0" w:type="dxa"/>
            <w:vAlign w:val="bottom"/>
          </w:tcPr>
          <w:p>
            <w:pPr>
              <w:spacing w:after="0"/>
              <w:rPr>
                <w:sz w:val="1"/>
                <w:szCs w:val="1"/>
                <w:color w:val="auto"/>
              </w:rPr>
            </w:pPr>
          </w:p>
        </w:tc>
      </w:tr>
      <w:tr>
        <w:trPr>
          <w:trHeight w:val="18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Alexander O. Schuth, M.D.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08/21/2015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08/20/2025</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03/08/2017</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46,671</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03/08/2027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56,641</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08/22/2027</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02/26/2018</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180,000</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22.16</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02/26/2028</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02/07/2019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136,000</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02/07/2029</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02/10/2020</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136,000</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24.81</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02/10/2030</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01/04/2021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88,123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01/04/2031</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01/04/2021</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7,500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152,850</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25,189</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01/03/2032</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01/03/2022</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15,500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315,890</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08/09/2022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229,275</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01/03/2023</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59,109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64,251</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27.63</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01/03/2033</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628,519</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01/03/2024</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161,160</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20.33</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01/03/2034</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1,094,814</w:t>
            </w:r>
          </w:p>
        </w:tc>
        <w:tc>
          <w:tcPr>
            <w:tcW w:w="0" w:type="dxa"/>
            <w:vAlign w:val="bottom"/>
          </w:tcPr>
          <w:p>
            <w:pPr>
              <w:spacing w:after="0"/>
              <w:rPr>
                <w:sz w:val="1"/>
                <w:szCs w:val="1"/>
                <w:color w:val="auto"/>
              </w:rPr>
            </w:pPr>
          </w:p>
        </w:tc>
      </w:tr>
      <w:tr>
        <w:trPr>
          <w:trHeight w:val="171"/>
        </w:trPr>
        <w:tc>
          <w:tcPr>
            <w:tcW w:w="1960" w:type="dxa"/>
            <w:vAlign w:val="bottom"/>
            <w:gridSpan w:val="2"/>
          </w:tcPr>
          <w:p>
            <w:pPr>
              <w:ind w:left="20"/>
              <w:spacing w:after="0"/>
              <w:rPr>
                <w:sz w:val="20"/>
                <w:szCs w:val="20"/>
                <w:color w:val="auto"/>
              </w:rPr>
            </w:pPr>
            <w:r>
              <w:rPr>
                <w:rFonts w:ascii="Arial" w:cs="Arial" w:eastAsia="Arial" w:hAnsi="Arial"/>
                <w:sz w:val="13"/>
                <w:szCs w:val="13"/>
                <w:color w:val="auto"/>
              </w:rPr>
              <w:t>Carole Ho, M.D.</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08/21/2015</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44,655</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62,500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0.68</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08/20/2025</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07/02/2016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44,035</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07/02/2026</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03/08/2017</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38,240</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03/08/2027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02/26/2018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02/26/2028</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02/07/2019</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136,000</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17.99</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02/07/2029</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02/10/2020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142,000</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02/10/2030</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01/04/2021</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88,123</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1,877</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70.86</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01/04/2031</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01/04/2021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152,850</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01/03/2022</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67,811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25,189</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47.27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01/03/2032</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315,890</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08/09/2022</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11,250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229,275</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59,109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64,251</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01/03/2033</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01/03/2023</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30,840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628,519</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01/03/2024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161,160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01/03/2034</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01/03/2024</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7"/>
              </w:rPr>
              <w:t>(6)</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53,720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1,094,814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025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33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1"/>
          <w:szCs w:val="11"/>
          <w:color w:val="auto"/>
        </w:rPr>
      </w:pPr>
      <w:r>
        <w:rPr>
          <w:rFonts w:ascii="Arial" w:cs="Arial" w:eastAsia="Arial" w:hAnsi="Arial"/>
          <w:sz w:val="14"/>
          <w:szCs w:val="14"/>
          <w:color w:val="auto"/>
        </w:rPr>
        <w:t>Each of the outstanding equity awards was granted pursuant to the 2015 Stock Incentive Plan (the “2015 Plan”) or the 2017 Equity Incentive Plan (the "2017 Plan").</w:t>
      </w:r>
    </w:p>
    <w:p>
      <w:pPr>
        <w:spacing w:after="0" w:line="15" w:lineRule="exact"/>
        <w:rPr>
          <w:rFonts w:ascii="Arial" w:cs="Arial" w:eastAsia="Arial" w:hAnsi="Arial"/>
          <w:sz w:val="11"/>
          <w:szCs w:val="11"/>
          <w:color w:val="auto"/>
        </w:rPr>
      </w:pPr>
    </w:p>
    <w:p>
      <w:pPr>
        <w:ind w:left="500" w:hanging="492"/>
        <w:spacing w:after="0"/>
        <w:tabs>
          <w:tab w:leader="none" w:pos="500" w:val="left"/>
        </w:tabs>
        <w:numPr>
          <w:ilvl w:val="0"/>
          <w:numId w:val="33"/>
        </w:numPr>
        <w:rPr>
          <w:rFonts w:ascii="Arial" w:cs="Arial" w:eastAsia="Arial" w:hAnsi="Arial"/>
          <w:sz w:val="11"/>
          <w:szCs w:val="11"/>
          <w:color w:val="auto"/>
        </w:rPr>
      </w:pPr>
      <w:r>
        <w:rPr>
          <w:rFonts w:ascii="Arial" w:cs="Arial" w:eastAsia="Arial" w:hAnsi="Arial"/>
          <w:sz w:val="14"/>
          <w:szCs w:val="14"/>
          <w:color w:val="auto"/>
        </w:rPr>
        <w:t>This column represents the fair value of a share of our common stock on the date of grant, as determined by our board of directors.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500" w:right="60" w:hanging="492"/>
        <w:spacing w:after="0" w:line="272" w:lineRule="auto"/>
        <w:tabs>
          <w:tab w:leader="none" w:pos="497" w:val="left"/>
        </w:tabs>
        <w:numPr>
          <w:ilvl w:val="0"/>
          <w:numId w:val="34"/>
        </w:numPr>
        <w:rPr>
          <w:rFonts w:ascii="Arial" w:cs="Arial" w:eastAsia="Arial" w:hAnsi="Arial"/>
          <w:sz w:val="11"/>
          <w:szCs w:val="11"/>
          <w:color w:val="auto"/>
        </w:rPr>
      </w:pPr>
      <w:r>
        <w:rPr>
          <w:rFonts w:ascii="Arial" w:cs="Arial" w:eastAsia="Arial" w:hAnsi="Arial"/>
          <w:sz w:val="14"/>
          <w:szCs w:val="14"/>
          <w:color w:val="auto"/>
        </w:rPr>
        <w:t>This column represents the fair market value of the shares of our common stock as of December 31, 2024, based on the closing price of our common stock, as reported on the NASDAQ Global Select Market, of $20.38 per share on December 31, 2024.</w:t>
      </w:r>
    </w:p>
    <w:p>
      <w:pPr>
        <w:ind w:left="500" w:hanging="492"/>
        <w:spacing w:after="0" w:line="257" w:lineRule="auto"/>
        <w:tabs>
          <w:tab w:leader="none" w:pos="497" w:val="left"/>
        </w:tabs>
        <w:numPr>
          <w:ilvl w:val="0"/>
          <w:numId w:val="34"/>
        </w:numPr>
        <w:rPr>
          <w:rFonts w:ascii="Arial" w:cs="Arial" w:eastAsia="Arial" w:hAnsi="Arial"/>
          <w:sz w:val="11"/>
          <w:szCs w:val="11"/>
          <w:color w:val="auto"/>
        </w:rPr>
      </w:pPr>
      <w:r>
        <w:rPr>
          <w:rFonts w:ascii="Arial" w:cs="Arial" w:eastAsia="Arial" w:hAnsi="Arial"/>
          <w:sz w:val="14"/>
          <w:szCs w:val="14"/>
          <w:color w:val="auto"/>
        </w:rPr>
        <w:t>The shares subject to the unearned option will vest upon (i) the date on which the reported closing price of our common stock on Nasdaq or the New York Stock Exchange (or other national securities exchange) has, for 90 consecutive trading days, equaled or exceeded $80.00 per share (subject to adjustments for any stock split, reverse stock split or certain other changes in capitalization), with the first day of the 90-day measurement period no earlier than June 6, 2018, or (ii) the date on which we close a change of control transaction in which the stockholders receive consideration equal to no less than $80.00 per share (subject to adjustments for any stock split, reverse stock split or certain other changes in capitalization) in exchange for the sale of their capital stock.</w:t>
      </w:r>
    </w:p>
    <w:p>
      <w:pPr>
        <w:spacing w:after="0" w:line="2" w:lineRule="exact"/>
        <w:rPr>
          <w:rFonts w:ascii="Arial" w:cs="Arial" w:eastAsia="Arial" w:hAnsi="Arial"/>
          <w:sz w:val="11"/>
          <w:szCs w:val="11"/>
          <w:color w:val="auto"/>
        </w:rPr>
      </w:pPr>
    </w:p>
    <w:p>
      <w:pPr>
        <w:ind w:left="500" w:right="400" w:hanging="492"/>
        <w:spacing w:after="0" w:line="251" w:lineRule="auto"/>
        <w:tabs>
          <w:tab w:leader="none" w:pos="497" w:val="left"/>
        </w:tabs>
        <w:numPr>
          <w:ilvl w:val="0"/>
          <w:numId w:val="34"/>
        </w:numPr>
        <w:rPr>
          <w:rFonts w:ascii="Arial" w:cs="Arial" w:eastAsia="Arial" w:hAnsi="Arial"/>
          <w:sz w:val="11"/>
          <w:szCs w:val="11"/>
          <w:color w:val="auto"/>
        </w:rPr>
      </w:pPr>
      <w:r>
        <w:rPr>
          <w:rFonts w:ascii="Arial" w:cs="Arial" w:eastAsia="Arial" w:hAnsi="Arial"/>
          <w:sz w:val="14"/>
          <w:szCs w:val="14"/>
          <w:color w:val="auto"/>
        </w:rPr>
        <w:t>One-fourth of the total number of shares subject to the option vest on the one year anniversary of the grant date, and one forty-eighth of the total number of shares subject to the option vest monthly thereafter, subject to continued service to us through each such vesting date.</w:t>
      </w:r>
    </w:p>
    <w:p>
      <w:pPr>
        <w:ind w:left="500" w:hanging="492"/>
        <w:spacing w:after="0" w:line="272" w:lineRule="auto"/>
        <w:tabs>
          <w:tab w:leader="none" w:pos="497" w:val="left"/>
        </w:tabs>
        <w:numPr>
          <w:ilvl w:val="0"/>
          <w:numId w:val="34"/>
        </w:numPr>
        <w:rPr>
          <w:rFonts w:ascii="Arial" w:cs="Arial" w:eastAsia="Arial" w:hAnsi="Arial"/>
          <w:sz w:val="11"/>
          <w:szCs w:val="11"/>
          <w:color w:val="auto"/>
        </w:rPr>
      </w:pPr>
      <w:r>
        <w:rPr>
          <w:rFonts w:ascii="Arial" w:cs="Arial" w:eastAsia="Arial" w:hAnsi="Arial"/>
          <w:sz w:val="14"/>
          <w:szCs w:val="14"/>
          <w:color w:val="auto"/>
        </w:rPr>
        <w:t>Represents restricted stock units providing a contingent right to receive the listed number of shares of our common stock upon settlement. One-fourth of the total number of shares subject to the award vest on the one year anniversary of the grant date, and one-fourth of the total number of shares subject to the award vest each year thereafter, subject to continued service to us through each such vesting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Ryan J. Watts, Ph.D.</w:t>
      </w:r>
    </w:p>
    <w:p>
      <w:pPr>
        <w:spacing w:after="0" w:line="18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November 10, 2017, we entered into a confirmatory employment letter with Dr. Watts, our President and Chief Executive Officer. The confirmatory employment letter has no specific term and provides for at-will employment. Effective January 1, 2025, Dr. Watts’ base salary was $ 718,000, and his target bonus is 65% of his annual base salary, subject to the terms and conditions of a bonus plan approved by our board of directors or the compensation committee of our board of directors. The confirmatory offer letter also provides that we may, in our discretion, grant additional bonus amounts to Dr. Watts.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Alexander O. Schuth, M.D.</w:t>
      </w:r>
    </w:p>
    <w:p>
      <w:pPr>
        <w:spacing w:after="0" w:line="183" w:lineRule="exact"/>
        <w:rPr>
          <w:sz w:val="20"/>
          <w:szCs w:val="20"/>
          <w:color w:val="auto"/>
        </w:rPr>
      </w:pPr>
    </w:p>
    <w:p>
      <w:pPr>
        <w:jc w:val="both"/>
        <w:ind w:right="60" w:firstLine="486"/>
        <w:spacing w:after="0" w:line="262" w:lineRule="auto"/>
        <w:rPr>
          <w:sz w:val="20"/>
          <w:szCs w:val="20"/>
          <w:color w:val="auto"/>
        </w:rPr>
      </w:pPr>
      <w:r>
        <w:rPr>
          <w:rFonts w:ascii="Arial" w:cs="Arial" w:eastAsia="Arial" w:hAnsi="Arial"/>
          <w:sz w:val="18"/>
          <w:szCs w:val="18"/>
          <w:color w:val="auto"/>
        </w:rPr>
        <w:t>On November 10, 2017, we entered into a confirmatory employment letter with Dr. Schuth, our Chief Operating Officer and Secretary. The confirmatory employment letter has no specific term and provides for at-will employment. Effective January 1, 2025, Dr. Schuth’s base salary was $552,000, and his target bonus is 45% of his annual base salary, subject to the terms of the applicable bonus plan developed by our chief executive officer and approved by our board of directors or the compensation committee of our board of directors. The confirmatory offer letter also provides that we may, in our discretion, grant additional bonus amounts to Dr. Schuth</w:t>
      </w:r>
      <w:r>
        <w:rPr>
          <w:rFonts w:ascii="Arial" w:cs="Arial" w:eastAsia="Arial" w:hAnsi="Arial"/>
          <w:sz w:val="18"/>
          <w:szCs w:val="18"/>
          <w:b w:val="1"/>
          <w:bCs w:val="1"/>
          <w:i w:val="1"/>
          <w:iCs w:val="1"/>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Carole Ho, M.D.</w:t>
      </w:r>
    </w:p>
    <w:p>
      <w:pPr>
        <w:spacing w:after="0" w:line="19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On November 10, 2017, we entered into a confirmatory employment letter with Dr. Ho, our Chief Medical Officer. The confirmatory employment letter has no specific term and provides for at-will employment. Effective January 1, 2025, Dr. Ho’s base salary was $552,000, and her target bonus is 45% of her annual base salary, subject to the terms of the applicable bonus plan developed by our chief executive officer and approved by our board of directors or the compensation committee of our board of directors. The confirmatory employment letter also provides that we may, in our discretion, grant additional bonus amounts to Dr. Ho.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Dr. Watts, Dr. Schuth, and Dr. Ho are entitled to certain change of control and severance benefits pursuant to our Key Executive Change in Control and Severance Plan (the “Severance Plan”), which was adopted in November 2017 and subsequently modified in October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If we terminate a named executive officer’s employment other than for cause, death, or disability or such participant resigns for good reason during the period beginning on a change in control (as such terms are defined in the Severance Plan) and ending 12 months following a change in control (the “change in control period”), such named executive officer will be eligible to receive the following severance benefits (less applicable tax withholdings):</w:t>
      </w:r>
    </w:p>
    <w:p>
      <w:pPr>
        <w:spacing w:after="0" w:line="149" w:lineRule="exact"/>
        <w:rPr>
          <w:sz w:val="20"/>
          <w:szCs w:val="20"/>
          <w:color w:val="auto"/>
        </w:rPr>
      </w:pPr>
    </w:p>
    <w:p>
      <w:pPr>
        <w:ind w:left="1140" w:hanging="484"/>
        <w:spacing w:after="0" w:line="262" w:lineRule="auto"/>
        <w:tabs>
          <w:tab w:leader="none" w:pos="11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(200% for Dr. Watts) of the named executive officer’s annual base salary as in effect immediately prior to the termination (or if the termination is due to a resignation for good reason based on a material reduction in base salary, then the named executive officer’s annual base salary in effect immediately prior to such reduction) paid over 12 months (24 months for Dr. Watts);</w:t>
      </w:r>
    </w:p>
    <w:p>
      <w:pPr>
        <w:spacing w:after="0" w:line="135" w:lineRule="exact"/>
        <w:rPr>
          <w:rFonts w:ascii="Arial" w:cs="Arial" w:eastAsia="Arial" w:hAnsi="Arial"/>
          <w:sz w:val="18"/>
          <w:szCs w:val="18"/>
          <w:color w:val="auto"/>
        </w:rPr>
      </w:pPr>
    </w:p>
    <w:p>
      <w:pPr>
        <w:ind w:left="1140" w:right="40" w:hanging="484"/>
        <w:spacing w:after="0" w:line="268" w:lineRule="auto"/>
        <w:tabs>
          <w:tab w:leader="none" w:pos="11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lump sum payment equal to 100% (200% for Dr. Watts) of the annual target bonus the named executive officer would otherwise be eligible to receive for the fiscal year in which the termination occurs, assuming achievement of all target levels at 100%;</w:t>
      </w:r>
    </w:p>
    <w:p>
      <w:pPr>
        <w:spacing w:after="0" w:line="130" w:lineRule="exact"/>
        <w:rPr>
          <w:rFonts w:ascii="Arial" w:cs="Arial" w:eastAsia="Arial" w:hAnsi="Arial"/>
          <w:sz w:val="18"/>
          <w:szCs w:val="18"/>
          <w:color w:val="auto"/>
        </w:rPr>
      </w:pPr>
    </w:p>
    <w:p>
      <w:pPr>
        <w:ind w:left="1140" w:right="300" w:hanging="484"/>
        <w:spacing w:after="0" w:line="262" w:lineRule="auto"/>
        <w:tabs>
          <w:tab w:leader="none" w:pos="11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lump sum cash payment in an aggregate amount equal to 12 months (24 months for Dr. Watts) of the applicable monthly premium cost that the named otherwise would be required to pay to continue qualifying health coverage under COBRA (provided that if the Company determines in its sole discretion that these payments cannot be provided without violating applicable law, these payments will not be made); and</w:t>
      </w:r>
    </w:p>
    <w:p>
      <w:pPr>
        <w:spacing w:after="0" w:line="149" w:lineRule="exact"/>
        <w:rPr>
          <w:rFonts w:ascii="Arial" w:cs="Arial" w:eastAsia="Arial" w:hAnsi="Arial"/>
          <w:sz w:val="18"/>
          <w:szCs w:val="18"/>
          <w:color w:val="auto"/>
        </w:rPr>
      </w:pPr>
    </w:p>
    <w:p>
      <w:pPr>
        <w:ind w:left="1140" w:right="120" w:hanging="484"/>
        <w:spacing w:after="0" w:line="268" w:lineRule="auto"/>
        <w:tabs>
          <w:tab w:leader="none" w:pos="11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of the named executive officer’s then-outstanding and unvested equity awards that are subject to vest solely on the named executive officer’s continued service through the scheduled vesting dates will become vested in full and, if applicable, exercisable.</w:t>
      </w:r>
    </w:p>
    <w:p>
      <w:pPr>
        <w:spacing w:after="0" w:line="130"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If we terminate a named executive officer’s employment other than for cause, death, or disability or such participant resigns for good reason outside of the change in control period, such named executive officer will be eligible to receive the following severance benefits (less applicable tax withholdings):</w:t>
      </w:r>
    </w:p>
    <w:p>
      <w:pPr>
        <w:spacing w:after="0" w:line="130" w:lineRule="exact"/>
        <w:rPr>
          <w:sz w:val="20"/>
          <w:szCs w:val="20"/>
          <w:color w:val="auto"/>
        </w:rPr>
      </w:pPr>
    </w:p>
    <w:p>
      <w:pPr>
        <w:ind w:left="1140" w:right="100" w:hanging="484"/>
        <w:spacing w:after="0" w:line="262" w:lineRule="auto"/>
        <w:tabs>
          <w:tab w:leader="none" w:pos="1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75% (100% for Dr. Watts) of the named executive officer’s annual base salary as in effect immediately prior to the termination (or if the termination is due to a resignation for good reason based on a material reduction in base salary, then the named executive officer’s annual base salary in effect immediately prior to such reduction) paid over 9 months (12 months for Dr. Watts);</w:t>
      </w:r>
    </w:p>
    <w:p>
      <w:pPr>
        <w:spacing w:after="0" w:line="149" w:lineRule="exact"/>
        <w:rPr>
          <w:rFonts w:ascii="Arial" w:cs="Arial" w:eastAsia="Arial" w:hAnsi="Arial"/>
          <w:sz w:val="18"/>
          <w:szCs w:val="18"/>
          <w:color w:val="auto"/>
        </w:rPr>
      </w:pPr>
    </w:p>
    <w:p>
      <w:pPr>
        <w:ind w:left="1140" w:hanging="484"/>
        <w:spacing w:after="0" w:line="268" w:lineRule="auto"/>
        <w:tabs>
          <w:tab w:leader="none" w:pos="1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lump sum payment equal to the annual target bonus the named executive officer would otherwise be eligible to receive for the fiscal year in which the termination occurs, assuming achievement of all annual targets at 100%, prorated for the portion of the year during which the named executive officer was employed; and</w:t>
      </w:r>
    </w:p>
    <w:p>
      <w:pPr>
        <w:spacing w:after="0" w:line="130" w:lineRule="exact"/>
        <w:rPr>
          <w:rFonts w:ascii="Arial" w:cs="Arial" w:eastAsia="Arial" w:hAnsi="Arial"/>
          <w:sz w:val="18"/>
          <w:szCs w:val="18"/>
          <w:color w:val="auto"/>
        </w:rPr>
      </w:pPr>
    </w:p>
    <w:p>
      <w:pPr>
        <w:ind w:left="1140" w:right="40" w:hanging="484"/>
        <w:spacing w:after="0" w:line="262" w:lineRule="auto"/>
        <w:tabs>
          <w:tab w:leader="none" w:pos="1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lump sum cash payment in an aggregate amount equal to 9 months (12 months for Dr. Watts) of the applicable monthly premium cost that the named executive officer otherwise would be required to pay to continue qualifying health coverage under COBRA (provided that if the Company determines in its sole discretion that these payments cannot be provided without violating applicable law, these payments will not be made).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To receive the severance benefits upon a qualifying termination, a named executive officer must sign and not revoke a form of separation agreement and release of claims in a form reasonably satisfactory to us within the time frame set forth in the Severance Plan and must continue to comply with the provisions of such release and the terms of any proprietary information and inventions agreement and any other written agreement or agreements between the named executive officer and us under which the named executive officer has a material duty or obligation to us.</w:t>
      </w:r>
    </w:p>
    <w:p>
      <w:pPr>
        <w:spacing w:after="0" w:line="15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In addition, in the event of a change in control, the vesting schedule of any then-outstanding and unvested equity awards that are subject to time-based vesting and were granted to a named executive officer prior to the effective date of the Severance Plan will be accelerated in part so that the number of shares, if any, subject to each such award that would otherwise have first become vested in the period between the date of the consummation of the change in control and the date on which all but the final 12 months of the vesting period will have first become vested will immediately become vested and exercisable, as applicable. The remaining shares subject to each such award will continue to be eligible to vest in accordance with the original vesting schedule within the next 12 months as set forth in the applicable award agreement, and may accelerate in connection with certain terminations of employment, as described above.</w:t>
      </w:r>
    </w:p>
    <w:p>
      <w:pPr>
        <w:spacing w:after="0" w:line="14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If any of the payments provided for under the Severance Plan or otherwise payable to a named executive officer would constitute “parachute payments” within the meaning of Section 280G of the Code and would be subject to the related excise tax under Section 4999 of the Code, then the named executive officer will be entitled to receive either full payment of benefits or such lesser amount which would result in no portion of the benefits being subject to the excise tax, whichever results in the greater amount of after-tax benefits to him or her. The Severance Plan does not require us to provide any tax gross-up payments to any named executive officer.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2015 Stock Incentive Plan</w:t>
      </w:r>
    </w:p>
    <w:p>
      <w:pPr>
        <w:spacing w:after="0" w:line="18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2017 Plan provides that in the event of a merger or change in control, as defined under our 2017 Plan, each outstanding award will be treated as the administrator determines, without a participant’s consent. The administrator is not required to treat all awards, all awards held by a participant, or all awards of the same type, similarly. 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58" w:lineRule="exact"/>
        <w:rPr>
          <w:sz w:val="20"/>
          <w:szCs w:val="20"/>
          <w:color w:val="auto"/>
        </w:rPr>
      </w:pPr>
    </w:p>
    <w:p>
      <w:pPr>
        <w:ind w:right="240" w:firstLine="486"/>
        <w:spacing w:after="0" w:line="274" w:lineRule="auto"/>
        <w:rPr>
          <w:sz w:val="20"/>
          <w:szCs w:val="20"/>
          <w:color w:val="auto"/>
        </w:rPr>
      </w:pPr>
      <w:r>
        <w:rPr>
          <w:rFonts w:ascii="Arial" w:cs="Arial" w:eastAsia="Arial" w:hAnsi="Arial"/>
          <w:sz w:val="17"/>
          <w:szCs w:val="17"/>
          <w:color w:val="auto"/>
        </w:rPr>
        <w:t>If an outside director’s awards under the 2017 Plan are assumed or substituted for in a merger or change in control where awards granted to non-employee directors are assumed or substituted for and the service of such outside director as a director or director of the successor corporation, as applicable is terminated on or following the assumption or substitution, other than pursuant to a voluntary resignation (unless such resignation is at the request of the acquirer), his or her options and stock appreciation rights, if any, will vest fully and become immediately exercisable, all restrictions on his or her restricted stock and RSUs will lapse and all performance goals or other vesting requirements for his or her performance shares and units will be deemed achieved at 100% of target levels and all other terms and conditions met, unless specifically provided otherwise under the applicable award agreement or other written agreement with the director.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2015 Plan provides that in the event of a merger or other Reorganization Event, as defined under the 2015 Plan, each outstanding award, except restricted stock, will be treated as the administrator determines, including, without limitation, that awards shall be assumed or substituted; upon written notice to a participant, that awards will terminate immediately prior to the consummation of the transaction; that awards will become fully exercisable or restrictions applicable to the award will lapse in whole or in part upon the transaction; or, upon a Reorganization Event under which the holders of shares of common stock will receive a cash payment for each share surrendered in the Reorganization Event, that awards will be terminated in exchange for a cash payment equal to the number of shares subject to the award multiplied by the acquisition price minus the exercise, measurement, or purchase price of the award. In addition, in the event of a Reorganization Event that is a liquidation or dissolution, the administrator may provide that awards will be converted into the right to receive liquidation proceeds (if applicable, net of the exercise, measurement or purchase price thereof and applicable tax withholdings). Certain additional restrictions apply to RSUs to which Section 409A of the Code apply. On a Reorganization Event other than our liquidation or dissolution, our repurchase rights with respect to restricted stock will inure to the benefit of the successor and shall, unless the administrator determines otherwise, apply to the property into which the shares are converted. In the event of our proposed liquidation or dissolution, restrictions on restricted stock then outstanding will be automatically deemed satisfied.</w:t>
      </w:r>
    </w:p>
    <w:p>
      <w:pPr>
        <w:spacing w:after="0" w:line="160" w:lineRule="exact"/>
        <w:rPr>
          <w:sz w:val="20"/>
          <w:szCs w:val="20"/>
          <w:color w:val="auto"/>
        </w:rPr>
      </w:pPr>
    </w:p>
    <w:p>
      <w:pPr>
        <w:ind w:right="400" w:firstLine="486"/>
        <w:spacing w:after="0" w:line="268" w:lineRule="auto"/>
        <w:rPr>
          <w:sz w:val="20"/>
          <w:szCs w:val="20"/>
          <w:color w:val="auto"/>
        </w:rPr>
      </w:pPr>
      <w:r>
        <w:rPr>
          <w:rFonts w:ascii="Arial" w:cs="Arial" w:eastAsia="Arial" w:hAnsi="Arial"/>
          <w:sz w:val="18"/>
          <w:szCs w:val="18"/>
          <w:color w:val="auto"/>
        </w:rPr>
        <w:t>The following table shows the potential payments and benefits that the Company would be obligated to make or provide upon termination of employment of each of our named executive officers. For purposes of this table, it is assumed that, each named executive officer’s employment terminated at the close of business on December 31, 2024, the last day of our fiscal year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Executive Benefits and Payments Upon</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Change in Control</w:t>
            </w:r>
          </w:p>
        </w:tc>
        <w:tc>
          <w:tcPr>
            <w:tcW w:w="10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Termination Without</w:t>
            </w:r>
          </w:p>
        </w:tc>
        <w:tc>
          <w:tcPr>
            <w:tcW w:w="0" w:type="dxa"/>
            <w:vAlign w:val="bottom"/>
          </w:tcPr>
          <w:p>
            <w:pPr>
              <w:spacing w:after="0"/>
              <w:rPr>
                <w:sz w:val="1"/>
                <w:szCs w:val="1"/>
                <w:color w:val="auto"/>
              </w:rPr>
            </w:pPr>
          </w:p>
        </w:tc>
      </w:tr>
      <w:tr>
        <w:trPr>
          <w:trHeight w:val="144"/>
        </w:trPr>
        <w:tc>
          <w:tcPr>
            <w:tcW w:w="27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3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Control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with Qualifying</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Termination or Change in Control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Cause</w:t>
            </w:r>
          </w:p>
        </w:tc>
        <w:tc>
          <w:tcPr>
            <w:tcW w:w="0" w:type="dxa"/>
            <w:vAlign w:val="bottom"/>
          </w:tcPr>
          <w:p>
            <w:pPr>
              <w:spacing w:after="0"/>
              <w:rPr>
                <w:sz w:val="1"/>
                <w:szCs w:val="1"/>
                <w:color w:val="auto"/>
              </w:rPr>
            </w:pPr>
          </w:p>
        </w:tc>
      </w:tr>
      <w:tr>
        <w:trPr>
          <w:trHeight w:val="196"/>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Base Salary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690,000</w:t>
            </w:r>
          </w:p>
        </w:tc>
        <w:tc>
          <w:tcPr>
            <w:tcW w:w="0" w:type="dxa"/>
            <w:vAlign w:val="bottom"/>
          </w:tcPr>
          <w:p>
            <w:pPr>
              <w:spacing w:after="0"/>
              <w:rPr>
                <w:sz w:val="1"/>
                <w:szCs w:val="1"/>
                <w:color w:val="auto"/>
              </w:rPr>
            </w:pPr>
          </w:p>
        </w:tc>
      </w:tr>
      <w:tr>
        <w:trPr>
          <w:trHeight w:val="199"/>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3"/>
          </w:tcPr>
          <w:p>
            <w:pPr>
              <w:ind w:left="20"/>
              <w:spacing w:after="0"/>
              <w:rPr>
                <w:sz w:val="20"/>
                <w:szCs w:val="20"/>
                <w:color w:val="auto"/>
              </w:rPr>
            </w:pPr>
            <w:r>
              <w:rPr>
                <w:rFonts w:ascii="Arial" w:cs="Arial" w:eastAsia="Arial" w:hAnsi="Arial"/>
                <w:sz w:val="14"/>
                <w:szCs w:val="14"/>
                <w:color w:val="auto"/>
              </w:rPr>
              <w:t>Target Bonus</w:t>
            </w:r>
          </w:p>
        </w:tc>
        <w:tc>
          <w:tcPr>
            <w:tcW w:w="140" w:type="dxa"/>
            <w:vAlign w:val="bottom"/>
          </w:tcPr>
          <w:p>
            <w:pPr>
              <w:spacing w:after="0"/>
              <w:rPr>
                <w:sz w:val="17"/>
                <w:szCs w:val="17"/>
                <w:color w:val="auto"/>
              </w:rPr>
            </w:pPr>
          </w:p>
        </w:tc>
        <w:tc>
          <w:tcPr>
            <w:tcW w:w="156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897,000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448,500</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Welfare</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52,294</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Restricted Stock Units</w:t>
            </w:r>
            <w:r>
              <w:rPr>
                <w:rFonts w:ascii="Arial" w:cs="Arial" w:eastAsia="Arial" w:hAnsi="Arial"/>
                <w:sz w:val="18"/>
                <w:szCs w:val="18"/>
                <w:color w:val="auto"/>
                <w:vertAlign w:val="superscript"/>
              </w:rPr>
              <w:t>(2)</w:t>
            </w:r>
          </w:p>
        </w:tc>
        <w:tc>
          <w:tcPr>
            <w:tcW w:w="140" w:type="dxa"/>
            <w:vAlign w:val="bottom"/>
          </w:tcPr>
          <w:p>
            <w:pPr>
              <w:spacing w:after="0"/>
              <w:rPr>
                <w:sz w:val="17"/>
                <w:szCs w:val="17"/>
                <w:color w:val="auto"/>
              </w:rPr>
            </w:pPr>
          </w:p>
        </w:tc>
        <w:tc>
          <w:tcPr>
            <w:tcW w:w="156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4,018,936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Stock Options</w:t>
            </w:r>
            <w:r>
              <w:rPr>
                <w:rFonts w:ascii="Arial" w:cs="Arial" w:eastAsia="Arial" w:hAnsi="Arial"/>
                <w:sz w:val="18"/>
                <w:szCs w:val="18"/>
                <w:color w:val="auto"/>
                <w:vertAlign w:val="superscript"/>
              </w:rPr>
              <w:t>(3)</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6,413,953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1,190,794</w:t>
            </w:r>
          </w:p>
        </w:tc>
        <w:tc>
          <w:tcPr>
            <w:tcW w:w="0" w:type="dxa"/>
            <w:vAlign w:val="bottom"/>
          </w:tcPr>
          <w:p>
            <w:pPr>
              <w:spacing w:after="0"/>
              <w:rPr>
                <w:sz w:val="1"/>
                <w:szCs w:val="1"/>
                <w:color w:val="auto"/>
              </w:rPr>
            </w:pP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Alexander O. Schuth, M.D.</w:t>
            </w: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Base Salary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402,000</w:t>
            </w:r>
          </w:p>
        </w:tc>
        <w:tc>
          <w:tcPr>
            <w:tcW w:w="0" w:type="dxa"/>
            <w:vAlign w:val="bottom"/>
          </w:tcPr>
          <w:p>
            <w:pPr>
              <w:spacing w:after="0"/>
              <w:rPr>
                <w:sz w:val="1"/>
                <w:szCs w:val="1"/>
                <w:color w:val="auto"/>
              </w:rPr>
            </w:pPr>
          </w:p>
        </w:tc>
      </w:tr>
      <w:tr>
        <w:trPr>
          <w:trHeight w:val="199"/>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3"/>
          </w:tcPr>
          <w:p>
            <w:pPr>
              <w:ind w:left="20"/>
              <w:spacing w:after="0"/>
              <w:rPr>
                <w:sz w:val="20"/>
                <w:szCs w:val="20"/>
                <w:color w:val="auto"/>
              </w:rPr>
            </w:pPr>
            <w:r>
              <w:rPr>
                <w:rFonts w:ascii="Arial" w:cs="Arial" w:eastAsia="Arial" w:hAnsi="Arial"/>
                <w:sz w:val="14"/>
                <w:szCs w:val="14"/>
                <w:color w:val="auto"/>
              </w:rPr>
              <w:t>Target Bonus</w:t>
            </w:r>
          </w:p>
        </w:tc>
        <w:tc>
          <w:tcPr>
            <w:tcW w:w="140" w:type="dxa"/>
            <w:vAlign w:val="bottom"/>
          </w:tcPr>
          <w:p>
            <w:pPr>
              <w:spacing w:after="0"/>
              <w:rPr>
                <w:sz w:val="17"/>
                <w:szCs w:val="17"/>
                <w:color w:val="auto"/>
              </w:rPr>
            </w:pPr>
          </w:p>
        </w:tc>
        <w:tc>
          <w:tcPr>
            <w:tcW w:w="156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241,200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241,200</w:t>
            </w:r>
          </w:p>
        </w:tc>
        <w:tc>
          <w:tcPr>
            <w:tcW w:w="0" w:type="dxa"/>
            <w:vAlign w:val="bottom"/>
          </w:tcPr>
          <w:p>
            <w:pPr>
              <w:spacing w:after="0"/>
              <w:rPr>
                <w:sz w:val="1"/>
                <w:szCs w:val="1"/>
                <w:color w:val="auto"/>
              </w:rPr>
            </w:pPr>
          </w:p>
        </w:tc>
      </w:tr>
      <w:tr>
        <w:trPr>
          <w:trHeight w:val="206"/>
        </w:trPr>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Welfare</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32,041</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Restricted Stock Units</w:t>
            </w:r>
            <w:r>
              <w:rPr>
                <w:rFonts w:ascii="Arial" w:cs="Arial" w:eastAsia="Arial" w:hAnsi="Arial"/>
                <w:sz w:val="18"/>
                <w:szCs w:val="18"/>
                <w:color w:val="auto"/>
                <w:vertAlign w:val="superscript"/>
              </w:rPr>
              <w:t>(2)</w:t>
            </w:r>
          </w:p>
        </w:tc>
        <w:tc>
          <w:tcPr>
            <w:tcW w:w="140" w:type="dxa"/>
            <w:vAlign w:val="bottom"/>
          </w:tcPr>
          <w:p>
            <w:pPr>
              <w:spacing w:after="0"/>
              <w:rPr>
                <w:sz w:val="17"/>
                <w:szCs w:val="17"/>
                <w:color w:val="auto"/>
              </w:rPr>
            </w:pPr>
          </w:p>
        </w:tc>
        <w:tc>
          <w:tcPr>
            <w:tcW w:w="156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2,421,348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Stock Options</w:t>
            </w:r>
            <w:r>
              <w:rPr>
                <w:rFonts w:ascii="Arial" w:cs="Arial" w:eastAsia="Arial" w:hAnsi="Arial"/>
                <w:sz w:val="18"/>
                <w:szCs w:val="18"/>
                <w:color w:val="auto"/>
                <w:vertAlign w:val="superscript"/>
              </w:rPr>
              <w:t>(3)</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3,249,327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675,241</w:t>
            </w:r>
          </w:p>
        </w:tc>
        <w:tc>
          <w:tcPr>
            <w:tcW w:w="0" w:type="dxa"/>
            <w:vAlign w:val="bottom"/>
          </w:tcPr>
          <w:p>
            <w:pPr>
              <w:spacing w:after="0"/>
              <w:rPr>
                <w:sz w:val="1"/>
                <w:szCs w:val="1"/>
                <w:color w:val="auto"/>
              </w:rPr>
            </w:pP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Base Salary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402,000</w:t>
            </w: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3"/>
          </w:tcPr>
          <w:p>
            <w:pPr>
              <w:ind w:left="20"/>
              <w:spacing w:after="0"/>
              <w:rPr>
                <w:sz w:val="20"/>
                <w:szCs w:val="20"/>
                <w:color w:val="auto"/>
              </w:rPr>
            </w:pPr>
            <w:r>
              <w:rPr>
                <w:rFonts w:ascii="Arial" w:cs="Arial" w:eastAsia="Arial" w:hAnsi="Arial"/>
                <w:sz w:val="14"/>
                <w:szCs w:val="14"/>
                <w:color w:val="auto"/>
              </w:rPr>
              <w:t>Target Bonus</w:t>
            </w:r>
          </w:p>
        </w:tc>
        <w:tc>
          <w:tcPr>
            <w:tcW w:w="140" w:type="dxa"/>
            <w:vAlign w:val="bottom"/>
          </w:tcPr>
          <w:p>
            <w:pPr>
              <w:spacing w:after="0"/>
              <w:rPr>
                <w:sz w:val="17"/>
                <w:szCs w:val="17"/>
                <w:color w:val="auto"/>
              </w:rPr>
            </w:pPr>
          </w:p>
        </w:tc>
        <w:tc>
          <w:tcPr>
            <w:tcW w:w="156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241,200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241,200</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Welfare</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40,372</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Restricted Stock Units</w:t>
            </w:r>
            <w:r>
              <w:rPr>
                <w:rFonts w:ascii="Arial" w:cs="Arial" w:eastAsia="Arial" w:hAnsi="Arial"/>
                <w:sz w:val="18"/>
                <w:szCs w:val="18"/>
                <w:color w:val="auto"/>
                <w:vertAlign w:val="superscript"/>
              </w:rPr>
              <w:t>(2)</w:t>
            </w:r>
          </w:p>
        </w:tc>
        <w:tc>
          <w:tcPr>
            <w:tcW w:w="140" w:type="dxa"/>
            <w:vAlign w:val="bottom"/>
          </w:tcPr>
          <w:p>
            <w:pPr>
              <w:spacing w:after="0"/>
              <w:rPr>
                <w:sz w:val="17"/>
                <w:szCs w:val="17"/>
                <w:color w:val="auto"/>
              </w:rPr>
            </w:pPr>
          </w:p>
        </w:tc>
        <w:tc>
          <w:tcPr>
            <w:tcW w:w="156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2,421,348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Stock Options</w:t>
            </w:r>
            <w:r>
              <w:rPr>
                <w:rFonts w:ascii="Arial" w:cs="Arial" w:eastAsia="Arial" w:hAnsi="Arial"/>
                <w:sz w:val="18"/>
                <w:szCs w:val="18"/>
                <w:color w:val="auto"/>
                <w:vertAlign w:val="superscript"/>
              </w:rPr>
              <w:t>(3)</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ind w:left="1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3,260,435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683,572</w:t>
            </w:r>
          </w:p>
        </w:tc>
        <w:tc>
          <w:tcPr>
            <w:tcW w:w="0" w:type="dxa"/>
            <w:vAlign w:val="bottom"/>
          </w:tcPr>
          <w:p>
            <w:pPr>
              <w:spacing w:after="0"/>
              <w:rPr>
                <w:sz w:val="1"/>
                <w:szCs w:val="1"/>
                <w:color w:val="auto"/>
              </w:rPr>
            </w:pPr>
          </w:p>
        </w:tc>
      </w:tr>
      <w:tr>
        <w:trPr>
          <w:trHeight w:val="170"/>
        </w:trPr>
        <w:tc>
          <w:tcPr>
            <w:tcW w:w="2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500" w:hanging="492"/>
        <w:spacing w:after="0" w:line="272" w:lineRule="auto"/>
        <w:tabs>
          <w:tab w:leader="none" w:pos="497" w:val="left"/>
        </w:tabs>
        <w:numPr>
          <w:ilvl w:val="0"/>
          <w:numId w:val="37"/>
        </w:numPr>
        <w:rPr>
          <w:rFonts w:ascii="Arial" w:cs="Arial" w:eastAsia="Arial" w:hAnsi="Arial"/>
          <w:sz w:val="11"/>
          <w:szCs w:val="11"/>
          <w:color w:val="auto"/>
        </w:rPr>
      </w:pPr>
      <w:r>
        <w:rPr>
          <w:rFonts w:ascii="Arial" w:cs="Arial" w:eastAsia="Arial" w:hAnsi="Arial"/>
          <w:sz w:val="14"/>
          <w:szCs w:val="14"/>
          <w:color w:val="auto"/>
        </w:rPr>
        <w:t>Represents the lump sum aggregate premium payments, including the two-percent administrative charge, that would be required to be paid to or on behalf of the NEO to provide continued health insurance coverage under COBRA (based on the executive's health insurance coverage as of December 31, 2024) for 9 (12 for Dr. Watts) months for termination without cause and 12 (24 for Dr. Watts) months for a qualified termination that occurs within 12 months of the consummation of a change in control.</w:t>
      </w:r>
    </w:p>
    <w:p>
      <w:pPr>
        <w:spacing w:after="0" w:line="155" w:lineRule="exact"/>
        <w:rPr>
          <w:rFonts w:ascii="Arial" w:cs="Arial" w:eastAsia="Arial" w:hAnsi="Arial"/>
          <w:sz w:val="11"/>
          <w:szCs w:val="11"/>
          <w:color w:val="auto"/>
        </w:rPr>
      </w:pPr>
    </w:p>
    <w:p>
      <w:pPr>
        <w:ind w:left="500" w:hanging="492"/>
        <w:spacing w:after="0" w:line="261" w:lineRule="auto"/>
        <w:tabs>
          <w:tab w:leader="none" w:pos="497" w:val="left"/>
        </w:tabs>
        <w:numPr>
          <w:ilvl w:val="0"/>
          <w:numId w:val="37"/>
        </w:numPr>
        <w:rPr>
          <w:rFonts w:ascii="Arial" w:cs="Arial" w:eastAsia="Arial" w:hAnsi="Arial"/>
          <w:sz w:val="11"/>
          <w:szCs w:val="11"/>
          <w:color w:val="auto"/>
        </w:rPr>
      </w:pPr>
      <w:r>
        <w:rPr>
          <w:rFonts w:ascii="Arial" w:cs="Arial" w:eastAsia="Arial" w:hAnsi="Arial"/>
          <w:sz w:val="14"/>
          <w:szCs w:val="14"/>
          <w:color w:val="auto"/>
        </w:rPr>
        <w:t>Assuming assumption of the outstanding equity awards by a buyer, upon the consummation of a change in control and a qualifying termination with the change in control period, all time-based RSU awards accelerate vesting. The value of accelerated RSUs is calculated by multiplying the numbers of shares subject to acceleration by the closing price of our common stock on December 31, 2024, which was $20.38.</w:t>
      </w:r>
    </w:p>
    <w:p>
      <w:pPr>
        <w:spacing w:after="0" w:line="1" w:lineRule="exact"/>
        <w:rPr>
          <w:rFonts w:ascii="Arial" w:cs="Arial" w:eastAsia="Arial" w:hAnsi="Arial"/>
          <w:sz w:val="11"/>
          <w:szCs w:val="11"/>
          <w:color w:val="auto"/>
        </w:rPr>
      </w:pPr>
    </w:p>
    <w:p>
      <w:pPr>
        <w:ind w:left="500" w:right="280" w:hanging="492"/>
        <w:spacing w:after="0" w:line="262" w:lineRule="auto"/>
        <w:tabs>
          <w:tab w:leader="none" w:pos="497" w:val="left"/>
        </w:tabs>
        <w:numPr>
          <w:ilvl w:val="0"/>
          <w:numId w:val="37"/>
        </w:numPr>
        <w:rPr>
          <w:rFonts w:ascii="Arial" w:cs="Arial" w:eastAsia="Arial" w:hAnsi="Arial"/>
          <w:sz w:val="11"/>
          <w:szCs w:val="11"/>
          <w:color w:val="auto"/>
        </w:rPr>
      </w:pPr>
      <w:r>
        <w:rPr>
          <w:rFonts w:ascii="Arial" w:cs="Arial" w:eastAsia="Arial" w:hAnsi="Arial"/>
          <w:sz w:val="14"/>
          <w:szCs w:val="14"/>
          <w:color w:val="auto"/>
        </w:rPr>
        <w:t>Upon a change in control and qualifying termination and a qualifying termination with the change in control period, all time-based unvested stock options will 100% accelerate vesting. The value of accelerated stock options is calculated by multiplying the numbers of options subject to acceleration by the difference between the closing price of our common stock on December 31, 2024, which was $20.38, and the per share exercise price of the unvested shares subject to acceleration. Stock options with a per share exercise price that exceeds the closing price of our common stock on December 31, 2024 is included with a value of $nil in the table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8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employer safe harbor contributions. The Company currently offers a safe harbor contribution in the amount of 4% of the participant's eligible compensation, deposited each payroll. The 401(k) plan is intended to qualify under Sections 401(a) and 501(a) of the Code. As a tax-qualified retirement plan, pre-tax contributions to the 401(k) plan and earnings on those pre-tax contributions are not taxable to the employees until distributed from the 401(k) plan, and, if certain requirements are met, earnings on Roth contributions are not taxable when distributed from the 401(k)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- 2024</w:t>
      </w:r>
    </w:p>
    <w:p>
      <w:pPr>
        <w:spacing w:after="0" w:line="185"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Under rules adopted pursuant to the Dodd-Frank Act, we are required to calculate and disclose the 2024 annual total compensation paid to our median paid employee and to our Chief Executive Officer, as well as the ratio of the total compensation paid to the median employee as compared to the total compensation paid to our Chief Executive Officer (the "CEO Pay Ratio"). The paragraphs that follow describe our methodology and the resulting CEO Pay Ratio.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Date</w:t>
      </w:r>
    </w:p>
    <w:p>
      <w:pPr>
        <w:spacing w:after="0" w:line="196" w:lineRule="exact"/>
        <w:rPr>
          <w:sz w:val="20"/>
          <w:szCs w:val="20"/>
          <w:color w:val="auto"/>
        </w:rPr>
      </w:pPr>
    </w:p>
    <w:p>
      <w:pPr>
        <w:ind w:right="420" w:firstLine="486"/>
        <w:spacing w:after="0" w:line="287" w:lineRule="auto"/>
        <w:rPr>
          <w:sz w:val="20"/>
          <w:szCs w:val="20"/>
          <w:color w:val="auto"/>
        </w:rPr>
      </w:pPr>
      <w:r>
        <w:rPr>
          <w:rFonts w:ascii="Arial" w:cs="Arial" w:eastAsia="Arial" w:hAnsi="Arial"/>
          <w:sz w:val="18"/>
          <w:szCs w:val="18"/>
          <w:color w:val="auto"/>
        </w:rPr>
        <w:t>We identified the median employee using our employee population on October 1, 2024 (including all employees, except our CEO, whether employed on a full-time, part-time, seasonal or temporary basis).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Consistently Applied Compensation Measure</w:t>
      </w:r>
    </w:p>
    <w:p>
      <w:pPr>
        <w:spacing w:after="0" w:line="18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employee as of October 1, 2024: (1) annual base pay, (2) annual target cash incentive opportunity, and (3) the grant date fair value for equity awards granted in 2024. In identifying the median employee, we did not exclude workers in non-U.S. countries and did not make any cost-of-living adjustments.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183" w:lineRule="exact"/>
        <w:rPr>
          <w:sz w:val="20"/>
          <w:szCs w:val="20"/>
          <w:color w:val="auto"/>
        </w:rPr>
      </w:pPr>
    </w:p>
    <w:p>
      <w:pPr>
        <w:ind w:right="40" w:firstLine="486"/>
        <w:spacing w:after="0" w:line="281" w:lineRule="auto"/>
        <w:rPr>
          <w:sz w:val="20"/>
          <w:szCs w:val="20"/>
          <w:color w:val="auto"/>
        </w:rPr>
      </w:pPr>
      <w:r>
        <w:rPr>
          <w:rFonts w:ascii="Arial" w:cs="Arial" w:eastAsia="Arial" w:hAnsi="Arial"/>
          <w:sz w:val="18"/>
          <w:szCs w:val="18"/>
          <w:color w:val="auto"/>
        </w:rPr>
        <w:t>Once the median employee was identified, we calculated the median employee's 2024 annual total direct compensation in accordance with the requirements of the Summary Compensation Table.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486"/>
        <w:spacing w:after="0" w:line="268" w:lineRule="auto"/>
        <w:rPr>
          <w:sz w:val="20"/>
          <w:szCs w:val="20"/>
          <w:color w:val="auto"/>
        </w:rPr>
      </w:pPr>
      <w:r>
        <w:rPr>
          <w:rFonts w:ascii="Arial" w:cs="Arial" w:eastAsia="Arial" w:hAnsi="Arial"/>
          <w:sz w:val="18"/>
          <w:szCs w:val="18"/>
          <w:color w:val="auto"/>
        </w:rPr>
        <w:t>Our median employee compensation for 2024 as calculated using Summary Compensation Table requirements was $347,840. Our Chief Executive Officer's compensation for 2024 as reported in the Summary Compensation Table was $6,557,662. Therefore, our CEO Pay Ratio for 2024 is approximately 19:1.</w:t>
      </w:r>
    </w:p>
    <w:p>
      <w:pPr>
        <w:spacing w:after="0" w:line="144"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vs. Performance</w:t>
      </w:r>
    </w:p>
    <w:p>
      <w:pPr>
        <w:spacing w:after="0" w:line="18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Under rules adopted pursuant to the Dodd-Frank Act, we are required to calculate and disclose the correlation between executive pay and Company performance for each of the last five completed fiscal years. The disclosure includes an analysis of compensation for our Principal Executive Officer ("PEO"), Dr. Watts, and the average of total compensation for the non-PEO NEOs. The Non-PEO NEOs included for purposes of calculating the average amounts in each of 2020, 2021 and 2022 are Mr. Krognes, and Drs. Schuth and Ho and in each of 2023 and 2024 are Drs. Schuth and Ho.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vs. Performance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of initial fixed $100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investment based on:</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Summary</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Summary</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Share-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100" w:type="dxa"/>
            <w:vAlign w:val="bottom"/>
          </w:tcPr>
          <w:p>
            <w:pPr>
              <w:spacing w:after="0"/>
              <w:rPr>
                <w:sz w:val="24"/>
                <w:szCs w:val="2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Net Income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44"/>
        </w:trPr>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Fiscal</w:t>
            </w:r>
          </w:p>
        </w:tc>
        <w:tc>
          <w:tcPr>
            <w:tcW w:w="15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Compensation</w:t>
            </w:r>
          </w:p>
        </w:tc>
        <w:tc>
          <w:tcPr>
            <w:tcW w:w="1540" w:type="dxa"/>
            <w:vAlign w:val="bottom"/>
            <w:gridSpan w:val="2"/>
            <w:vMerge w:val="continue"/>
          </w:tcPr>
          <w:p>
            <w:pPr>
              <w:spacing w:after="0"/>
              <w:rPr>
                <w:sz w:val="12"/>
                <w:szCs w:val="12"/>
                <w:color w:val="auto"/>
              </w:rPr>
            </w:pPr>
          </w:p>
        </w:tc>
        <w:tc>
          <w:tcPr>
            <w:tcW w:w="15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Compensation</w:t>
            </w:r>
          </w:p>
        </w:tc>
        <w:tc>
          <w:tcPr>
            <w:tcW w:w="1040" w:type="dxa"/>
            <w:vAlign w:val="bottom"/>
            <w:gridSpan w:val="2"/>
            <w:vMerge w:val="continue"/>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Total Share-</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gridSpan w:val="2"/>
            <w:vMerge w:val="continue"/>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Table Total for</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Actually Paid to</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Table Total for Non-</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Actually Paid to</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holder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holder</w:t>
            </w: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(loss) (in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Selected</w:t>
            </w: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0"/>
              </w:rPr>
              <w:t>PEO</w:t>
            </w:r>
            <w:r>
              <w:rPr>
                <w:rFonts w:ascii="Arial" w:cs="Arial" w:eastAsia="Arial" w:hAnsi="Arial"/>
                <w:sz w:val="18"/>
                <w:szCs w:val="18"/>
                <w:color w:val="auto"/>
                <w:w w:val="90"/>
                <w:vertAlign w:val="superscript"/>
              </w:rPr>
              <w:t>(1)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PEO</w:t>
            </w:r>
            <w:r>
              <w:rPr>
                <w:rFonts w:ascii="Arial" w:cs="Arial" w:eastAsia="Arial" w:hAnsi="Arial"/>
                <w:sz w:val="9"/>
                <w:szCs w:val="9"/>
                <w:color w:val="auto"/>
              </w:rPr>
              <w:t>(2)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PEO NEOs</w:t>
            </w:r>
            <w:r>
              <w:rPr>
                <w:rFonts w:ascii="Arial" w:cs="Arial" w:eastAsia="Arial" w:hAnsi="Arial"/>
                <w:sz w:val="18"/>
                <w:szCs w:val="18"/>
                <w:color w:val="auto"/>
                <w:w w:val="99"/>
                <w:vertAlign w:val="superscript"/>
              </w:rPr>
              <w:t>(3)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Non-PEO NEOs</w:t>
            </w:r>
            <w:r>
              <w:rPr>
                <w:rFonts w:ascii="Arial" w:cs="Arial" w:eastAsia="Arial" w:hAnsi="Arial"/>
                <w:sz w:val="18"/>
                <w:szCs w:val="18"/>
                <w:color w:val="auto"/>
                <w:w w:val="99"/>
                <w:vertAlign w:val="superscript"/>
              </w:rPr>
              <w:t>(4)</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9"/>
                <w:szCs w:val="9"/>
                <w:color w:val="auto"/>
              </w:rPr>
              <w:t>(5)</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6"/>
              </w:rPr>
              <w:t>Return</w:t>
            </w:r>
            <w:r>
              <w:rPr>
                <w:rFonts w:ascii="Arial" w:cs="Arial" w:eastAsia="Arial" w:hAnsi="Arial"/>
                <w:sz w:val="18"/>
                <w:szCs w:val="18"/>
                <w:color w:val="auto"/>
                <w:w w:val="96"/>
                <w:vertAlign w:val="superscript"/>
              </w:rPr>
              <w:t>(6)</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thousands)</w:t>
            </w:r>
            <w:r>
              <w:rPr>
                <w:rFonts w:ascii="Arial" w:cs="Arial" w:eastAsia="Arial" w:hAnsi="Arial"/>
                <w:sz w:val="9"/>
                <w:szCs w:val="9"/>
                <w:color w:val="auto"/>
              </w:rPr>
              <w:t>(7)</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w:t>
            </w: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$6,557,662</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$6,084,986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$4,022,759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$3,570,359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116.99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118.20</w:t>
            </w:r>
          </w:p>
        </w:tc>
        <w:tc>
          <w:tcPr>
            <w:tcW w:w="12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$(422,773)</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660" w:type="dxa"/>
            <w:vAlign w:val="bottom"/>
          </w:tcPr>
          <w:p>
            <w:pPr>
              <w:jc w:val="center"/>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$7,879,267</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$(813,455)</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$4,169,183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$1,657,599</w:t>
            </w: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123.19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118.87</w:t>
            </w:r>
          </w:p>
        </w:tc>
        <w:tc>
          <w:tcPr>
            <w:tcW w:w="1260" w:type="dxa"/>
            <w:vAlign w:val="bottom"/>
            <w:gridSpan w:val="2"/>
          </w:tcPr>
          <w:p>
            <w:pPr>
              <w:jc w:val="center"/>
              <w:ind w:left="8"/>
              <w:spacing w:after="0"/>
              <w:rPr>
                <w:sz w:val="20"/>
                <w:szCs w:val="20"/>
                <w:color w:val="auto"/>
              </w:rPr>
            </w:pPr>
            <w:r>
              <w:rPr>
                <w:rFonts w:ascii="Arial" w:cs="Arial" w:eastAsia="Arial" w:hAnsi="Arial"/>
                <w:sz w:val="14"/>
                <w:szCs w:val="14"/>
                <w:color w:val="auto"/>
              </w:rPr>
              <w:t>$(145,224)</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$9,284,688</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$(12,121,657)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$5,223,660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$(2,101,277)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159.64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113.65</w:t>
            </w:r>
          </w:p>
        </w:tc>
        <w:tc>
          <w:tcPr>
            <w:tcW w:w="12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$(325,991)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660" w:type="dxa"/>
            <w:vAlign w:val="bottom"/>
          </w:tcPr>
          <w:p>
            <w:pPr>
              <w:jc w:val="center"/>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$12,673,479</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$(58,240,593)</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$6,553,764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$(11,781,409)</w:t>
            </w: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256.03</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126.45</w:t>
            </w:r>
          </w:p>
        </w:tc>
        <w:tc>
          <w:tcPr>
            <w:tcW w:w="1260" w:type="dxa"/>
            <w:vAlign w:val="bottom"/>
            <w:gridSpan w:val="2"/>
          </w:tcPr>
          <w:p>
            <w:pPr>
              <w:jc w:val="center"/>
              <w:ind w:left="8"/>
              <w:spacing w:after="0"/>
              <w:rPr>
                <w:sz w:val="20"/>
                <w:szCs w:val="20"/>
                <w:color w:val="auto"/>
              </w:rPr>
            </w:pPr>
            <w:r>
              <w:rPr>
                <w:rFonts w:ascii="Arial" w:cs="Arial" w:eastAsia="Arial" w:hAnsi="Arial"/>
                <w:sz w:val="14"/>
                <w:szCs w:val="14"/>
                <w:color w:val="auto"/>
              </w:rPr>
              <w:t>$(290,581)</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$9,302,445</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$140,704,504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$4,264,931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$36,695,336</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480.83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126.42</w:t>
            </w:r>
          </w:p>
        </w:tc>
        <w:tc>
          <w:tcPr>
            <w:tcW w:w="12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$71,136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0518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41" w:lineRule="exact"/>
        <w:rPr>
          <w:sz w:val="20"/>
          <w:szCs w:val="20"/>
          <w:color w:val="auto"/>
        </w:rPr>
      </w:pPr>
    </w:p>
    <w:p>
      <w:pPr>
        <w:ind w:left="500" w:right="600" w:hanging="492"/>
        <w:spacing w:after="0" w:line="272" w:lineRule="auto"/>
        <w:tabs>
          <w:tab w:leader="none" w:pos="497"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dollar amounts reported in this column are the amounts of total compensation reported for our PEO for each corresponding year in the “Total” column of the Summary Compensation Table.</w:t>
      </w:r>
    </w:p>
    <w:p>
      <w:pPr>
        <w:ind w:left="500" w:right="60" w:hanging="492"/>
        <w:spacing w:after="0" w:line="262" w:lineRule="auto"/>
        <w:tabs>
          <w:tab w:leader="none" w:pos="497"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dollar amounts reported in this column represent the amount of “compensation actually paid” to our PEO, but compensation actually paid does not mean that Dr. Watts was actually paid those amounts in the listed year. This is a dollar amount derived from the starting point of Summary Compensation Table total compensation under the methodology prescribed under the relevant rules as follows and as shown in the adjustment table below. The Company has not paid dividends historically and does not sponsor any pension arrangements; thus no adjustments are made for these items.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Fiscal</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Summary Compensation Table</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Less: Reported Value of Equity</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Add: Equity Award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Compensation Actually Paid</w:t>
            </w:r>
          </w:p>
        </w:tc>
      </w:tr>
      <w:tr>
        <w:trPr>
          <w:trHeight w:val="189"/>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for PEO</w:t>
            </w:r>
          </w:p>
        </w:tc>
        <w:tc>
          <w:tcPr>
            <w:tcW w:w="234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98"/>
              </w:rPr>
              <w:t>Awards to PEO</w:t>
            </w:r>
            <w:r>
              <w:rPr>
                <w:rFonts w:ascii="Arial" w:cs="Arial" w:eastAsia="Arial" w:hAnsi="Arial"/>
                <w:sz w:val="18"/>
                <w:szCs w:val="18"/>
                <w:color w:val="auto"/>
                <w:w w:val="98"/>
                <w:vertAlign w:val="superscript"/>
              </w:rPr>
              <w:t>(a)</w:t>
            </w:r>
          </w:p>
        </w:tc>
        <w:tc>
          <w:tcPr>
            <w:tcW w:w="234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99"/>
              </w:rPr>
              <w:t>Adjustments to PEO</w:t>
            </w:r>
            <w:r>
              <w:rPr>
                <w:rFonts w:ascii="Arial" w:cs="Arial" w:eastAsia="Arial" w:hAnsi="Arial"/>
                <w:sz w:val="18"/>
                <w:szCs w:val="18"/>
                <w:color w:val="auto"/>
                <w:w w:val="99"/>
                <w:vertAlign w:val="superscript"/>
              </w:rPr>
              <w:t>(b)</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PEO</w:t>
            </w:r>
          </w:p>
        </w:tc>
      </w:tr>
      <w:tr>
        <w:trPr>
          <w:trHeight w:val="196"/>
        </w:trPr>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$6,557,662</w:t>
            </w:r>
          </w:p>
        </w:tc>
        <w:tc>
          <w:tcPr>
            <w:tcW w:w="1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$(5,225,793)</w:t>
            </w: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$4,753,117</w:t>
            </w:r>
          </w:p>
        </w:tc>
        <w:tc>
          <w:tcPr>
            <w:tcW w:w="1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$6,084,986</w:t>
            </w:r>
          </w:p>
        </w:tc>
      </w:tr>
      <w:tr>
        <w:trPr>
          <w:trHeight w:val="198"/>
        </w:trPr>
        <w:tc>
          <w:tcPr>
            <w:tcW w:w="780" w:type="dxa"/>
            <w:vAlign w:val="bottom"/>
          </w:tcPr>
          <w:p>
            <w:pPr>
              <w:jc w:val="center"/>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$7,879,267</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$(6,733,778)</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$(1,958,944)</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$(813,455)</w:t>
            </w:r>
          </w:p>
        </w:tc>
      </w:tr>
      <w:tr>
        <w:trPr>
          <w:trHeight w:val="20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$9,284,688</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$(8,240,488)</w:t>
            </w: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$(13,165,857)</w:t>
            </w: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$(12,121,657)</w:t>
            </w:r>
          </w:p>
        </w:tc>
      </w:tr>
      <w:tr>
        <w:trPr>
          <w:trHeight w:val="198"/>
        </w:trPr>
        <w:tc>
          <w:tcPr>
            <w:tcW w:w="780" w:type="dxa"/>
            <w:vAlign w:val="bottom"/>
          </w:tcPr>
          <w:p>
            <w:pPr>
              <w:jc w:val="center"/>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$12,673,479</w:t>
            </w:r>
          </w:p>
        </w:tc>
        <w:tc>
          <w:tcPr>
            <w:tcW w:w="10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$(11,548,440)</w:t>
            </w:r>
          </w:p>
        </w:tc>
        <w:tc>
          <w:tcPr>
            <w:tcW w:w="1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$(59,365,632)</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$(58,240,593)</w:t>
            </w:r>
          </w:p>
        </w:tc>
      </w:tr>
      <w:tr>
        <w:trPr>
          <w:trHeight w:val="20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$9,302,445</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$(8,053,154)</w:t>
            </w: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$139,455,213</w:t>
            </w: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$140,704,504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111760</wp:posOffset>
            </wp:positionV>
            <wp:extent cx="2871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41" w:lineRule="exact"/>
        <w:rPr>
          <w:sz w:val="20"/>
          <w:szCs w:val="20"/>
          <w:color w:val="auto"/>
        </w:rPr>
      </w:pPr>
    </w:p>
    <w:p>
      <w:pPr>
        <w:ind w:left="980" w:right="20" w:hanging="486"/>
        <w:spacing w:after="0" w:line="272" w:lineRule="auto"/>
        <w:tabs>
          <w:tab w:leader="none" w:pos="823" w:val="left"/>
        </w:tabs>
        <w:numPr>
          <w:ilvl w:val="0"/>
          <w:numId w:val="39"/>
        </w:numPr>
        <w:rPr>
          <w:rFonts w:ascii="Arial" w:cs="Arial" w:eastAsia="Arial" w:hAnsi="Arial"/>
          <w:sz w:val="11"/>
          <w:szCs w:val="11"/>
          <w:color w:val="auto"/>
        </w:rPr>
      </w:pPr>
      <w:r>
        <w:rPr>
          <w:rFonts w:ascii="Arial" w:cs="Arial" w:eastAsia="Arial" w:hAnsi="Arial"/>
          <w:sz w:val="14"/>
          <w:szCs w:val="14"/>
          <w:color w:val="auto"/>
        </w:rPr>
        <w:t>The amounts in this column reflect the aggregate grant-date fair value reported in the “Stock Awards” and “Option Awards” columns in the Summary Compensation Table for the applicable year for Dr. Watts.</w:t>
      </w:r>
    </w:p>
    <w:p>
      <w:pPr>
        <w:ind w:left="820" w:hanging="326"/>
        <w:spacing w:after="0"/>
        <w:tabs>
          <w:tab w:leader="none" w:pos="820" w:val="left"/>
        </w:tabs>
        <w:numPr>
          <w:ilvl w:val="0"/>
          <w:numId w:val="39"/>
        </w:numPr>
        <w:rPr>
          <w:rFonts w:ascii="Arial" w:cs="Arial" w:eastAsia="Arial" w:hAnsi="Arial"/>
          <w:sz w:val="11"/>
          <w:szCs w:val="11"/>
          <w:color w:val="auto"/>
        </w:rPr>
      </w:pPr>
      <w:r>
        <w:rPr>
          <w:rFonts w:ascii="Arial" w:cs="Arial" w:eastAsia="Arial" w:hAnsi="Arial"/>
          <w:sz w:val="14"/>
          <w:szCs w:val="14"/>
          <w:color w:val="auto"/>
        </w:rPr>
        <w:t>The amounts deducted or added in calculating the total equity award adjustments in the above table are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Year over Year</w:t>
            </w: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Fair Value as</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Year over Year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 at</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Change in Fair</w:t>
            </w:r>
          </w:p>
        </w:tc>
        <w:tc>
          <w:tcPr>
            <w:tcW w:w="1280" w:type="dxa"/>
            <w:vAlign w:val="bottom"/>
            <w:gridSpan w:val="2"/>
            <w:vMerge w:val="continue"/>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Change in Fair</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the End of the</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Value of</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of Vesting</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Value of Equity</w:t>
            </w: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Prior Year of</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Year End Fair</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Date of Equity</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Equity Awards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and Unvested</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Awards</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Granted in</w:t>
            </w:r>
          </w:p>
        </w:tc>
        <w:tc>
          <w:tcPr>
            <w:tcW w:w="13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that Failed to</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49"/>
        </w:trPr>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Fiscal</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Value of Equity</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Equity Awards</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Granted and</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Prior Years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Meet Vesting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gridSpan w:val="2"/>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Awards Granted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Granted in</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Vested in the</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 Vested in</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Conditions in</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189"/>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the Year</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Prior Years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196"/>
        </w:trPr>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$5,173,440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$(700,634)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$280,311</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$4,753,117</w:t>
            </w:r>
          </w:p>
        </w:tc>
        <w:tc>
          <w:tcPr>
            <w:tcW w:w="0" w:type="dxa"/>
            <w:vAlign w:val="bottom"/>
          </w:tcPr>
          <w:p>
            <w:pPr>
              <w:spacing w:after="0"/>
              <w:rPr>
                <w:sz w:val="1"/>
                <w:szCs w:val="1"/>
                <w:color w:val="auto"/>
              </w:rPr>
            </w:pPr>
          </w:p>
        </w:tc>
      </w:tr>
      <w:tr>
        <w:trPr>
          <w:trHeight w:val="198"/>
        </w:trPr>
        <w:tc>
          <w:tcPr>
            <w:tcW w:w="720" w:type="dxa"/>
            <w:vAlign w:val="bottom"/>
          </w:tcPr>
          <w:p>
            <w:pPr>
              <w:jc w:val="center"/>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$4,698,258</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$(6,495,950)</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$(161,252)</w:t>
            </w:r>
          </w:p>
        </w:tc>
        <w:tc>
          <w:tcPr>
            <w:tcW w:w="10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$(1,958,944)</w:t>
            </w:r>
          </w:p>
        </w:tc>
        <w:tc>
          <w:tcPr>
            <w:tcW w:w="0" w:type="dxa"/>
            <w:vAlign w:val="bottom"/>
          </w:tcPr>
          <w:p>
            <w:pPr>
              <w:spacing w:after="0"/>
              <w:rPr>
                <w:sz w:val="1"/>
                <w:szCs w:val="1"/>
                <w:color w:val="auto"/>
              </w:rPr>
            </w:pPr>
          </w:p>
        </w:tc>
      </w:tr>
      <w:tr>
        <w:trPr>
          <w:trHeight w:val="207"/>
        </w:trPr>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$4,292,254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$(15,184,024)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$(2,274,087)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$(13,165,857)</w:t>
            </w:r>
          </w:p>
        </w:tc>
        <w:tc>
          <w:tcPr>
            <w:tcW w:w="0" w:type="dxa"/>
            <w:vAlign w:val="bottom"/>
          </w:tcPr>
          <w:p>
            <w:pPr>
              <w:spacing w:after="0"/>
              <w:rPr>
                <w:sz w:val="1"/>
                <w:szCs w:val="1"/>
                <w:color w:val="auto"/>
              </w:rPr>
            </w:pPr>
          </w:p>
        </w:tc>
      </w:tr>
      <w:tr>
        <w:trPr>
          <w:trHeight w:val="198"/>
        </w:trPr>
        <w:tc>
          <w:tcPr>
            <w:tcW w:w="720" w:type="dxa"/>
            <w:vAlign w:val="bottom"/>
          </w:tcPr>
          <w:p>
            <w:pPr>
              <w:jc w:val="center"/>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$6,142,063</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$(46,889,675)</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$(18,618,020)</w:t>
            </w:r>
          </w:p>
        </w:tc>
        <w:tc>
          <w:tcPr>
            <w:tcW w:w="10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$(59,365,632)</w:t>
            </w:r>
          </w:p>
        </w:tc>
        <w:tc>
          <w:tcPr>
            <w:tcW w:w="0" w:type="dxa"/>
            <w:vAlign w:val="bottom"/>
          </w:tcPr>
          <w:p>
            <w:pPr>
              <w:spacing w:after="0"/>
              <w:rPr>
                <w:sz w:val="1"/>
                <w:szCs w:val="1"/>
                <w:color w:val="auto"/>
              </w:rPr>
            </w:pPr>
          </w:p>
        </w:tc>
      </w:tr>
      <w:tr>
        <w:trPr>
          <w:trHeight w:val="207"/>
        </w:trPr>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$32,742,847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$103,131,232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$3,581,134</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$139,455,213</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980"/>
        <w:spacing w:after="0" w:line="264" w:lineRule="auto"/>
        <w:rPr>
          <w:sz w:val="20"/>
          <w:szCs w:val="20"/>
          <w:color w:val="auto"/>
        </w:rPr>
      </w:pPr>
      <w:r>
        <w:rPr>
          <w:rFonts w:ascii="Arial" w:cs="Arial" w:eastAsia="Arial" w:hAnsi="Arial"/>
          <w:sz w:val="14"/>
          <w:szCs w:val="14"/>
          <w:color w:val="auto"/>
        </w:rPr>
        <w:t>In accordance with the relevant rules, the fair values of unvested and outstanding equity awards to our PEO were remeasured as of the end of each fiscal year, and as of each vesting date, during the years displayed in the table above. RSUs were valued at fair value, determined as the closing price of the Company's common stock on each measurement date. To value the performance and market contingent stock options as of each measurement date, the Company used a lattice model with a Monte Carlo simulation. This valuation methodology utilized the estimated fair value of the Company’s common stock on grant date and several key assumptions, including expected volatility of the Company’s stock price based on comparable public companies, risk-free rates of return and expected dividend yield. For all other stock options, the fair values as of each measurement date were determined using the Black-Scholes model, with assumptions and methodologies regarding volatility, dividend yield, and risk-free rates as outlined in the table below. The expected life of options as of each measurement date is estimated based on consideration of consistency with the original valuation assumptions for the grant, the circumstances of the grant at the measurement date, and other relevant factors under US GAAP.</w:t>
      </w:r>
    </w:p>
    <w:p>
      <w:pPr>
        <w:spacing w:after="0" w:line="25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23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97"/>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3.10-5.47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- 5.47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- 5.47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- 5.47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- 5.53</w:t>
            </w:r>
          </w:p>
        </w:tc>
      </w:tr>
      <w:tr>
        <w:trPr>
          <w:trHeight w:val="198"/>
        </w:trPr>
        <w:tc>
          <w:tcPr>
            <w:tcW w:w="236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580" w:type="dxa"/>
            <w:vAlign w:val="bottom"/>
          </w:tcPr>
          <w:p>
            <w:pPr>
              <w:jc w:val="right"/>
              <w:spacing w:after="0"/>
              <w:rPr>
                <w:sz w:val="20"/>
                <w:szCs w:val="20"/>
                <w:color w:val="auto"/>
              </w:rPr>
            </w:pPr>
            <w:r>
              <w:rPr>
                <w:rFonts w:ascii="Arial" w:cs="Arial" w:eastAsia="Arial" w:hAnsi="Arial"/>
                <w:sz w:val="14"/>
                <w:szCs w:val="14"/>
                <w:color w:val="auto"/>
              </w:rPr>
              <w:t>61.33%</w:t>
            </w:r>
          </w:p>
        </w:tc>
        <w:tc>
          <w:tcPr>
            <w:tcW w:w="680" w:type="dxa"/>
            <w:vAlign w:val="bottom"/>
          </w:tcPr>
          <w:p>
            <w:pPr>
              <w:ind w:left="20"/>
              <w:spacing w:after="0"/>
              <w:rPr>
                <w:sz w:val="20"/>
                <w:szCs w:val="20"/>
                <w:color w:val="auto"/>
              </w:rPr>
            </w:pPr>
            <w:r>
              <w:rPr>
                <w:rFonts w:ascii="Arial" w:cs="Arial" w:eastAsia="Arial" w:hAnsi="Arial"/>
                <w:sz w:val="14"/>
                <w:szCs w:val="14"/>
                <w:color w:val="auto"/>
              </w:rPr>
              <w:t>- 69.74%</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66.22%</w:t>
            </w:r>
          </w:p>
        </w:tc>
        <w:tc>
          <w:tcPr>
            <w:tcW w:w="680" w:type="dxa"/>
            <w:vAlign w:val="bottom"/>
          </w:tcPr>
          <w:p>
            <w:pPr>
              <w:ind w:left="20"/>
              <w:spacing w:after="0"/>
              <w:rPr>
                <w:sz w:val="20"/>
                <w:szCs w:val="20"/>
                <w:color w:val="auto"/>
              </w:rPr>
            </w:pPr>
            <w:r>
              <w:rPr>
                <w:rFonts w:ascii="Arial" w:cs="Arial" w:eastAsia="Arial" w:hAnsi="Arial"/>
                <w:sz w:val="14"/>
                <w:szCs w:val="14"/>
                <w:color w:val="auto"/>
              </w:rPr>
              <w:t>- 70.75%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63.50%</w:t>
            </w:r>
          </w:p>
        </w:tc>
        <w:tc>
          <w:tcPr>
            <w:tcW w:w="660" w:type="dxa"/>
            <w:vAlign w:val="bottom"/>
          </w:tcPr>
          <w:p>
            <w:pPr>
              <w:ind w:left="20"/>
              <w:spacing w:after="0"/>
              <w:rPr>
                <w:sz w:val="20"/>
                <w:szCs w:val="20"/>
                <w:color w:val="auto"/>
              </w:rPr>
            </w:pPr>
            <w:r>
              <w:rPr>
                <w:rFonts w:ascii="Arial" w:cs="Arial" w:eastAsia="Arial" w:hAnsi="Arial"/>
                <w:sz w:val="14"/>
                <w:szCs w:val="14"/>
                <w:color w:val="auto"/>
              </w:rPr>
              <w:t>- 67.73%</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57.46%</w:t>
            </w:r>
          </w:p>
        </w:tc>
        <w:tc>
          <w:tcPr>
            <w:tcW w:w="660" w:type="dxa"/>
            <w:vAlign w:val="bottom"/>
          </w:tcPr>
          <w:p>
            <w:pPr>
              <w:ind w:left="20"/>
              <w:spacing w:after="0"/>
              <w:rPr>
                <w:sz w:val="20"/>
                <w:szCs w:val="20"/>
                <w:color w:val="auto"/>
              </w:rPr>
            </w:pPr>
            <w:r>
              <w:rPr>
                <w:rFonts w:ascii="Arial" w:cs="Arial" w:eastAsia="Arial" w:hAnsi="Arial"/>
                <w:sz w:val="14"/>
                <w:szCs w:val="14"/>
                <w:color w:val="auto"/>
              </w:rPr>
              <w:t>- 63.34%</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63.35%</w:t>
            </w:r>
          </w:p>
        </w:tc>
        <w:tc>
          <w:tcPr>
            <w:tcW w:w="680" w:type="dxa"/>
            <w:vAlign w:val="bottom"/>
          </w:tcPr>
          <w:p>
            <w:pPr>
              <w:ind w:left="20"/>
              <w:spacing w:after="0"/>
              <w:rPr>
                <w:sz w:val="20"/>
                <w:szCs w:val="20"/>
                <w:color w:val="auto"/>
              </w:rPr>
            </w:pPr>
            <w:r>
              <w:rPr>
                <w:rFonts w:ascii="Arial" w:cs="Arial" w:eastAsia="Arial" w:hAnsi="Arial"/>
                <w:sz w:val="14"/>
                <w:szCs w:val="14"/>
                <w:color w:val="auto"/>
              </w:rPr>
              <w:t>- 78.04%</w:t>
            </w:r>
          </w:p>
        </w:tc>
      </w:tr>
      <w:tr>
        <w:trPr>
          <w:trHeight w:val="20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- 4.55%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- 4.80%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- 4.45%</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- 1.45%</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- 1.65%</w:t>
            </w:r>
          </w:p>
        </w:tc>
      </w:tr>
      <w:tr>
        <w:trPr>
          <w:trHeight w:val="195"/>
        </w:trPr>
        <w:tc>
          <w:tcPr>
            <w:tcW w:w="23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r>
    </w:tbl>
    <w:p>
      <w:pPr>
        <w:spacing w:after="0" w:line="80" w:lineRule="exact"/>
        <w:rPr>
          <w:sz w:val="20"/>
          <w:szCs w:val="20"/>
          <w:color w:val="auto"/>
        </w:rPr>
      </w:pPr>
    </w:p>
    <w:p>
      <w:pPr>
        <w:ind w:left="500" w:right="420" w:hanging="492"/>
        <w:spacing w:after="0" w:line="272" w:lineRule="auto"/>
        <w:tabs>
          <w:tab w:leader="none" w:pos="497" w:val="left"/>
        </w:tabs>
        <w:numPr>
          <w:ilvl w:val="0"/>
          <w:numId w:val="40"/>
        </w:numPr>
        <w:rPr>
          <w:rFonts w:ascii="Arial" w:cs="Arial" w:eastAsia="Arial" w:hAnsi="Arial"/>
          <w:sz w:val="11"/>
          <w:szCs w:val="11"/>
          <w:color w:val="auto"/>
        </w:rPr>
      </w:pPr>
      <w:r>
        <w:rPr>
          <w:rFonts w:ascii="Arial" w:cs="Arial" w:eastAsia="Arial" w:hAnsi="Arial"/>
          <w:sz w:val="14"/>
          <w:szCs w:val="14"/>
          <w:color w:val="auto"/>
        </w:rPr>
        <w:t>The dollar amounts reported in this column represent the average of the amounts reported for the Company’s Non-PEO NEOs as a group (this group excludes Dr. Watts) in the “Total” column of the Summary Compensation Table in each corresponding year.</w:t>
      </w:r>
    </w:p>
    <w:p>
      <w:pPr>
        <w:ind w:left="500" w:hanging="492"/>
        <w:spacing w:after="0" w:line="262" w:lineRule="auto"/>
        <w:tabs>
          <w:tab w:leader="none" w:pos="497" w:val="left"/>
        </w:tabs>
        <w:numPr>
          <w:ilvl w:val="0"/>
          <w:numId w:val="40"/>
        </w:numPr>
        <w:rPr>
          <w:rFonts w:ascii="Arial" w:cs="Arial" w:eastAsia="Arial" w:hAnsi="Arial"/>
          <w:sz w:val="11"/>
          <w:szCs w:val="11"/>
          <w:color w:val="auto"/>
        </w:rPr>
      </w:pPr>
      <w:r>
        <w:rPr>
          <w:rFonts w:ascii="Arial" w:cs="Arial" w:eastAsia="Arial" w:hAnsi="Arial"/>
          <w:sz w:val="14"/>
          <w:szCs w:val="14"/>
          <w:color w:val="auto"/>
        </w:rPr>
        <w:t>The dollar amounts reported represent the average amount of “compensation actually paid” for our Non-PEO NEOs as a group (this group excludes Dr. Watts). The dollar amounts do not reflect the actual amounts of compensation paid to the non-PEO NEOs during the applicable year, but are dollar amounts derived from the starting point of the Summary Compensation Table total compensation under the methodology prescribed under SEC rules as described in (2) above and shown in the adjustment table below.</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Fiscal</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Summary</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Less: Average Reported Value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Add: Average Equity Award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Average Compensation</w:t>
            </w:r>
          </w:p>
        </w:tc>
        <w:tc>
          <w:tcPr>
            <w:tcW w:w="0" w:type="dxa"/>
            <w:vAlign w:val="bottom"/>
          </w:tcPr>
          <w:p>
            <w:pPr>
              <w:spacing w:after="0"/>
              <w:rPr>
                <w:sz w:val="1"/>
                <w:szCs w:val="1"/>
                <w:color w:val="auto"/>
              </w:rPr>
            </w:pPr>
          </w:p>
        </w:tc>
      </w:tr>
      <w:tr>
        <w:trPr>
          <w:trHeight w:val="144"/>
        </w:trPr>
        <w:tc>
          <w:tcPr>
            <w:tcW w:w="880" w:type="dxa"/>
            <w:vAlign w:val="bottom"/>
            <w:gridSpan w:val="2"/>
            <w:vMerge w:val="continue"/>
          </w:tcPr>
          <w:p>
            <w:pPr>
              <w:spacing w:after="0"/>
              <w:rPr>
                <w:sz w:val="12"/>
                <w:szCs w:val="12"/>
                <w:color w:val="auto"/>
              </w:rPr>
            </w:pPr>
          </w:p>
        </w:tc>
        <w:tc>
          <w:tcPr>
            <w:tcW w:w="23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Compensation Table Total for</w:t>
            </w:r>
          </w:p>
        </w:tc>
        <w:tc>
          <w:tcPr>
            <w:tcW w:w="23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of Equity Awards to non-PEO</w:t>
            </w:r>
          </w:p>
        </w:tc>
        <w:tc>
          <w:tcPr>
            <w:tcW w:w="23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Adjustments to non-PEO</w:t>
            </w:r>
          </w:p>
        </w:tc>
        <w:tc>
          <w:tcPr>
            <w:tcW w:w="2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Actually Paid to non-PEO</w:t>
            </w:r>
          </w:p>
        </w:tc>
        <w:tc>
          <w:tcPr>
            <w:tcW w:w="0" w:type="dxa"/>
            <w:vAlign w:val="bottom"/>
          </w:tcPr>
          <w:p>
            <w:pPr>
              <w:spacing w:after="0"/>
              <w:rPr>
                <w:sz w:val="1"/>
                <w:szCs w:val="1"/>
                <w:color w:val="auto"/>
              </w:rPr>
            </w:pPr>
          </w:p>
        </w:tc>
      </w:tr>
      <w:tr>
        <w:trPr>
          <w:trHeight w:val="189"/>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non-PEO NEOs</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NEOs</w:t>
            </w:r>
            <w:r>
              <w:rPr>
                <w:rFonts w:ascii="Arial" w:cs="Arial" w:eastAsia="Arial" w:hAnsi="Arial"/>
                <w:sz w:val="9"/>
                <w:szCs w:val="9"/>
                <w:color w:val="auto"/>
              </w:rPr>
              <w:t>(a)</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NEOs</w:t>
            </w:r>
            <w:r>
              <w:rPr>
                <w:rFonts w:ascii="Arial" w:cs="Arial" w:eastAsia="Arial" w:hAnsi="Arial"/>
                <w:sz w:val="9"/>
                <w:szCs w:val="9"/>
                <w:color w:val="auto"/>
              </w:rPr>
              <w:t>(b)</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$4,022,759</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$(3,135,943)</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$2,683,543</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$3,570,359</w:t>
            </w:r>
          </w:p>
        </w:tc>
        <w:tc>
          <w:tcPr>
            <w:tcW w:w="0" w:type="dxa"/>
            <w:vAlign w:val="bottom"/>
          </w:tcPr>
          <w:p>
            <w:pPr>
              <w:spacing w:after="0"/>
              <w:rPr>
                <w:sz w:val="1"/>
                <w:szCs w:val="1"/>
                <w:color w:val="auto"/>
              </w:rPr>
            </w:pPr>
          </w:p>
        </w:tc>
      </w:tr>
      <w:tr>
        <w:trPr>
          <w:trHeight w:val="198"/>
        </w:trPr>
        <w:tc>
          <w:tcPr>
            <w:tcW w:w="780" w:type="dxa"/>
            <w:vAlign w:val="bottom"/>
          </w:tcPr>
          <w:p>
            <w:pPr>
              <w:jc w:val="center"/>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$4,169,183</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$(3,366,890)</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$855,306</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rPr>
              <w:t>$1,657,599</w:t>
            </w:r>
          </w:p>
        </w:tc>
        <w:tc>
          <w:tcPr>
            <w:tcW w:w="0" w:type="dxa"/>
            <w:vAlign w:val="bottom"/>
          </w:tcPr>
          <w:p>
            <w:pPr>
              <w:spacing w:after="0"/>
              <w:rPr>
                <w:sz w:val="1"/>
                <w:szCs w:val="1"/>
                <w:color w:val="auto"/>
              </w:rPr>
            </w:pPr>
          </w:p>
        </w:tc>
      </w:tr>
      <w:tr>
        <w:trPr>
          <w:trHeight w:val="20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$5,223,660</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$(4,674,277)</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$(2,650,660)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$(2,101,277)</w:t>
            </w:r>
          </w:p>
        </w:tc>
        <w:tc>
          <w:tcPr>
            <w:tcW w:w="0" w:type="dxa"/>
            <w:vAlign w:val="bottom"/>
          </w:tcPr>
          <w:p>
            <w:pPr>
              <w:spacing w:after="0"/>
              <w:rPr>
                <w:sz w:val="1"/>
                <w:szCs w:val="1"/>
                <w:color w:val="auto"/>
              </w:rPr>
            </w:pPr>
          </w:p>
        </w:tc>
      </w:tr>
      <w:tr>
        <w:trPr>
          <w:trHeight w:val="198"/>
        </w:trPr>
        <w:tc>
          <w:tcPr>
            <w:tcW w:w="780" w:type="dxa"/>
            <w:vAlign w:val="bottom"/>
          </w:tcPr>
          <w:p>
            <w:pPr>
              <w:jc w:val="center"/>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$6,553,764</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$(5,774,220)</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$(12,560,953)</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rPr>
              <w:t>$(11,781,409)</w:t>
            </w:r>
          </w:p>
        </w:tc>
        <w:tc>
          <w:tcPr>
            <w:tcW w:w="0" w:type="dxa"/>
            <w:vAlign w:val="bottom"/>
          </w:tcPr>
          <w:p>
            <w:pPr>
              <w:spacing w:after="0"/>
              <w:rPr>
                <w:sz w:val="1"/>
                <w:szCs w:val="1"/>
                <w:color w:val="auto"/>
              </w:rPr>
            </w:pPr>
          </w:p>
        </w:tc>
      </w:tr>
      <w:tr>
        <w:trPr>
          <w:trHeight w:val="20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$4,264,931</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$(3,418,810)</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$35,849,215</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$36,695,336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111760</wp:posOffset>
            </wp:positionV>
            <wp:extent cx="2871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41" w:lineRule="exact"/>
        <w:rPr>
          <w:sz w:val="20"/>
          <w:szCs w:val="20"/>
          <w:color w:val="auto"/>
        </w:rPr>
      </w:pPr>
    </w:p>
    <w:p>
      <w:pPr>
        <w:ind w:left="980" w:right="460" w:hanging="486"/>
        <w:spacing w:after="0" w:line="272" w:lineRule="auto"/>
        <w:tabs>
          <w:tab w:leader="none" w:pos="823" w:val="left"/>
        </w:tabs>
        <w:numPr>
          <w:ilvl w:val="0"/>
          <w:numId w:val="41"/>
        </w:numPr>
        <w:rPr>
          <w:rFonts w:ascii="Arial" w:cs="Arial" w:eastAsia="Arial" w:hAnsi="Arial"/>
          <w:sz w:val="11"/>
          <w:szCs w:val="11"/>
          <w:color w:val="auto"/>
        </w:rPr>
      </w:pPr>
      <w:r>
        <w:rPr>
          <w:rFonts w:ascii="Arial" w:cs="Arial" w:eastAsia="Arial" w:hAnsi="Arial"/>
          <w:sz w:val="14"/>
          <w:szCs w:val="14"/>
          <w:color w:val="auto"/>
        </w:rPr>
        <w:t>The amounts in this column reflect the average aggregate grant-date fair value reported in the “Stock Awards” and “Option Awards” columns in the Summary Compensation Table for the applicable year for the Company’s non-PEO NEOs as a group (this group excludes Dr. Watts).</w:t>
      </w:r>
    </w:p>
    <w:p>
      <w:pPr>
        <w:ind w:left="820" w:hanging="326"/>
        <w:spacing w:after="0"/>
        <w:tabs>
          <w:tab w:leader="none" w:pos="820" w:val="left"/>
        </w:tabs>
        <w:numPr>
          <w:ilvl w:val="0"/>
          <w:numId w:val="41"/>
        </w:numPr>
        <w:rPr>
          <w:rFonts w:ascii="Arial" w:cs="Arial" w:eastAsia="Arial" w:hAnsi="Arial"/>
          <w:sz w:val="11"/>
          <w:szCs w:val="11"/>
          <w:color w:val="auto"/>
        </w:rPr>
      </w:pPr>
      <w:r>
        <w:rPr>
          <w:rFonts w:ascii="Arial" w:cs="Arial" w:eastAsia="Arial" w:hAnsi="Arial"/>
          <w:sz w:val="14"/>
          <w:szCs w:val="14"/>
          <w:color w:val="auto"/>
        </w:rPr>
        <w:t>The amounts deducted or added in calculating the total equity award adjustments in the above table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Year over</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Average Fair</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Year over</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 Fair Value</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Year</w:t>
            </w:r>
          </w:p>
        </w:tc>
        <w:tc>
          <w:tcPr>
            <w:tcW w:w="138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Year</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at</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Change in Fair</w:t>
            </w:r>
          </w:p>
        </w:tc>
        <w:tc>
          <w:tcPr>
            <w:tcW w:w="13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Value as</w:t>
            </w:r>
          </w:p>
        </w:tc>
        <w:tc>
          <w:tcPr>
            <w:tcW w:w="15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Change in Fair</w:t>
            </w:r>
          </w:p>
        </w:tc>
        <w:tc>
          <w:tcPr>
            <w:tcW w:w="15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the End of the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9"/>
              </w:rPr>
              <w:t>Value of</w:t>
            </w:r>
          </w:p>
        </w:tc>
        <w:tc>
          <w:tcPr>
            <w:tcW w:w="13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of Vesting</w:t>
            </w:r>
          </w:p>
        </w:tc>
        <w:tc>
          <w:tcPr>
            <w:tcW w:w="15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Value of Equity</w:t>
            </w:r>
          </w:p>
        </w:tc>
        <w:tc>
          <w:tcPr>
            <w:tcW w:w="15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Prior Year of</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Average Year End</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Date of Equity</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Awards</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Equity Awards</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Average</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and Unvested</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Awards</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Granted in</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that Failed to</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 Value of Equity</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Equity Awards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Granted and</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Prior Years</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Meet Vesting</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Fiscal Year</w:t>
            </w:r>
          </w:p>
        </w:tc>
        <w:tc>
          <w:tcPr>
            <w:tcW w:w="100" w:type="dxa"/>
            <w:vAlign w:val="bottom"/>
            <w:vMerge w:val="restart"/>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Awards Granted in</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Granted in</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Vested in the</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 Vested in</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Conditions in</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189"/>
        </w:trPr>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Prior Years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$3,104,526</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$(324,972)</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$(96,011)</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$2,683,543</w:t>
            </w:r>
          </w:p>
        </w:tc>
        <w:tc>
          <w:tcPr>
            <w:tcW w:w="0" w:type="dxa"/>
            <w:vAlign w:val="bottom"/>
          </w:tcPr>
          <w:p>
            <w:pPr>
              <w:spacing w:after="0"/>
              <w:rPr>
                <w:sz w:val="1"/>
                <w:szCs w:val="1"/>
                <w:color w:val="auto"/>
              </w:rPr>
            </w:pPr>
          </w:p>
        </w:tc>
      </w:tr>
      <w:tr>
        <w:trPr>
          <w:trHeight w:val="198"/>
        </w:trPr>
        <w:tc>
          <w:tcPr>
            <w:tcW w:w="820" w:type="dxa"/>
            <w:vAlign w:val="bottom"/>
          </w:tcPr>
          <w:p>
            <w:pPr>
              <w:jc w:val="center"/>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$2,349,129</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$(1,469,617)</w:t>
            </w: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$(24,206)</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$855,306</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$1,868,705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$(2,967,213)</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$(960,069)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$(592,083)</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$(2,650,660)</w:t>
            </w:r>
          </w:p>
        </w:tc>
        <w:tc>
          <w:tcPr>
            <w:tcW w:w="0" w:type="dxa"/>
            <w:vAlign w:val="bottom"/>
          </w:tcPr>
          <w:p>
            <w:pPr>
              <w:spacing w:after="0"/>
              <w:rPr>
                <w:sz w:val="1"/>
                <w:szCs w:val="1"/>
                <w:color w:val="auto"/>
              </w:rPr>
            </w:pPr>
          </w:p>
        </w:tc>
      </w:tr>
      <w:tr>
        <w:trPr>
          <w:trHeight w:val="198"/>
        </w:trPr>
        <w:tc>
          <w:tcPr>
            <w:tcW w:w="820" w:type="dxa"/>
            <w:vAlign w:val="bottom"/>
          </w:tcPr>
          <w:p>
            <w:pPr>
              <w:jc w:val="center"/>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$3,071,031</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$(10,579,485)</w:t>
            </w: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$(5,052,499)</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$(12,560,953)</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$13,320,406</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$20,605,545</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$1,923,264</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$35,849,215</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980" w:right="160"/>
        <w:spacing w:after="0" w:line="283" w:lineRule="auto"/>
        <w:rPr>
          <w:sz w:val="20"/>
          <w:szCs w:val="20"/>
          <w:color w:val="auto"/>
        </w:rPr>
      </w:pPr>
      <w:r>
        <w:rPr>
          <w:rFonts w:ascii="Arial" w:cs="Arial" w:eastAsia="Arial" w:hAnsi="Arial"/>
          <w:sz w:val="14"/>
          <w:szCs w:val="14"/>
          <w:color w:val="auto"/>
        </w:rPr>
        <w:t>In accordance with the relevant rules, the fair values of unvested and outstanding equity awards to our non-PEO NEOs were remeasured as of the end of each fiscal year, and as of each vesting date, during the years displayed in the table above. The valuation methodology and assumptions used consistent with those used for the PEO as described in (2) above.</w:t>
      </w:r>
    </w:p>
    <w:p>
      <w:pPr>
        <w:spacing w:after="0" w:line="200" w:lineRule="exact"/>
        <w:rPr>
          <w:sz w:val="20"/>
          <w:szCs w:val="20"/>
          <w:color w:val="auto"/>
        </w:rPr>
      </w:pPr>
    </w:p>
    <w:p>
      <w:pPr>
        <w:ind w:left="500" w:right="380" w:hanging="492"/>
        <w:spacing w:after="0" w:line="261" w:lineRule="auto"/>
        <w:tabs>
          <w:tab w:leader="none" w:pos="497" w:val="left"/>
        </w:tabs>
        <w:numPr>
          <w:ilvl w:val="0"/>
          <w:numId w:val="42"/>
        </w:numPr>
        <w:rPr>
          <w:rFonts w:ascii="Arial" w:cs="Arial" w:eastAsia="Arial" w:hAnsi="Arial"/>
          <w:sz w:val="11"/>
          <w:szCs w:val="11"/>
          <w:color w:val="auto"/>
        </w:rPr>
      </w:pPr>
      <w:r>
        <w:rPr>
          <w:rFonts w:ascii="Arial" w:cs="Arial" w:eastAsia="Arial" w:hAnsi="Arial"/>
          <w:sz w:val="14"/>
          <w:szCs w:val="14"/>
          <w:color w:val="auto"/>
        </w:rPr>
        <w:t>Total shareholder return is calculated by assuming that a $100 investment was made on the day prior to the first fiscal year reported in the Pay versus Performance Table and reinvesting all dividends until the last day of each reported fiscal year. The Company has not paid dividends historically.</w:t>
      </w:r>
    </w:p>
    <w:p>
      <w:pPr>
        <w:spacing w:after="0" w:line="1" w:lineRule="exact"/>
        <w:rPr>
          <w:rFonts w:ascii="Arial" w:cs="Arial" w:eastAsia="Arial" w:hAnsi="Arial"/>
          <w:sz w:val="11"/>
          <w:szCs w:val="11"/>
          <w:color w:val="auto"/>
        </w:rPr>
      </w:pPr>
    </w:p>
    <w:p>
      <w:pPr>
        <w:ind w:left="500" w:hanging="492"/>
        <w:spacing w:after="0" w:line="261" w:lineRule="auto"/>
        <w:tabs>
          <w:tab w:leader="none" w:pos="497" w:val="left"/>
        </w:tabs>
        <w:numPr>
          <w:ilvl w:val="0"/>
          <w:numId w:val="42"/>
        </w:numPr>
        <w:rPr>
          <w:rFonts w:ascii="Arial" w:cs="Arial" w:eastAsia="Arial" w:hAnsi="Arial"/>
          <w:sz w:val="11"/>
          <w:szCs w:val="11"/>
          <w:color w:val="auto"/>
        </w:rPr>
      </w:pPr>
      <w:r>
        <w:rPr>
          <w:rFonts w:ascii="Arial" w:cs="Arial" w:eastAsia="Arial" w:hAnsi="Arial"/>
          <w:sz w:val="14"/>
          <w:szCs w:val="14"/>
          <w:color w:val="auto"/>
        </w:rPr>
        <w:t>The peer group used is the NASDAQ Biotechnology Index, as used in the Company’s stock performance graph required by Item 201(e) of Regulation S-K included in our Annual Report on Form 10-K for the year ended December 31, 2024.</w:t>
      </w:r>
    </w:p>
    <w:p>
      <w:pPr>
        <w:ind w:left="500" w:right="400" w:hanging="492"/>
        <w:spacing w:after="0" w:line="261" w:lineRule="auto"/>
        <w:tabs>
          <w:tab w:leader="none" w:pos="497" w:val="left"/>
        </w:tabs>
        <w:numPr>
          <w:ilvl w:val="0"/>
          <w:numId w:val="42"/>
        </w:numPr>
        <w:rPr>
          <w:rFonts w:ascii="Arial" w:cs="Arial" w:eastAsia="Arial" w:hAnsi="Arial"/>
          <w:sz w:val="11"/>
          <w:szCs w:val="11"/>
          <w:color w:val="auto"/>
        </w:rPr>
      </w:pPr>
      <w:r>
        <w:rPr>
          <w:rFonts w:ascii="Arial" w:cs="Arial" w:eastAsia="Arial" w:hAnsi="Arial"/>
          <w:sz w:val="14"/>
          <w:szCs w:val="14"/>
          <w:color w:val="auto"/>
        </w:rPr>
        <w:t>The dollar amounts reported in this column represent the amount of net income (loss) for the financial year as presented in the audited Consolidated Statements of Operations and Comprehensive Income (Loss) included in our Annual Report on Form 10-K.</w:t>
      </w:r>
    </w:p>
    <w:p>
      <w:pPr>
        <w:ind w:left="500" w:right="100" w:hanging="492"/>
        <w:spacing w:after="0" w:line="262" w:lineRule="auto"/>
        <w:tabs>
          <w:tab w:leader="none" w:pos="497" w:val="left"/>
        </w:tabs>
        <w:numPr>
          <w:ilvl w:val="0"/>
          <w:numId w:val="42"/>
        </w:numPr>
        <w:rPr>
          <w:rFonts w:ascii="Arial" w:cs="Arial" w:eastAsia="Arial" w:hAnsi="Arial"/>
          <w:sz w:val="11"/>
          <w:szCs w:val="11"/>
          <w:color w:val="auto"/>
        </w:rPr>
      </w:pPr>
      <w:r>
        <w:rPr>
          <w:rFonts w:ascii="Arial" w:cs="Arial" w:eastAsia="Arial" w:hAnsi="Arial"/>
          <w:sz w:val="14"/>
          <w:szCs w:val="14"/>
          <w:color w:val="auto"/>
        </w:rPr>
        <w:t>Guidance issued under the relevant rules states that we cannot use stock price as our company-selected measure and we did not use any other financial performance measure for the most recently completed fiscal year to link CAP to Company performance. Our stock price has a significant impact on the value of equity-based awards granted to our NEOs, including stock options and restricted stock units. We therefore believe that, due to our use and focus on equity compensation, our stock price strongly links 2022 compensation paid to our NEOs to our performance. However, because we cannot use stock price as our company-selected measure, we have not listed a company selected measure in the Pay versus Performance Table.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Relationship Between the Information Presented in the Pay versus Performance Table</w:t>
      </w:r>
    </w:p>
    <w:p>
      <w:pPr>
        <w:spacing w:after="0" w:line="19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accordance with Item 402(v) of Regulation S-K, the Company is providing the following description of the relationships between information presented in the Pay versus Performance Table. The analysis below demonstrates the relationship of “compensation actually paid” (“CAP”) to our PEO and average CAP to our non-PEO NEOs to the Company's total shareholder return (“TSR”), and the relationship of the Company's TSR to that of its peer group, the NASDAQ Biotechnology Index, in each case, during the past three years, as set forth in the Pay versus Performance Table. Further, it demonstrates the relationship between CAP to our PEO, average CAP to non-PEO NEOs and Net Income (Loss) as presented in the audited Consolidated Statements of Operations and Comprehensive Income (Loss) included in our Annual Report on Form 10-K in each case, during the past five years, as set forth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33947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b w:val="1"/>
          <w:bCs w:val="1"/>
          <w:color w:val="auto"/>
        </w:rPr>
        <w:t>Figure 1</w:t>
      </w:r>
      <w:r>
        <w:rPr>
          <w:rFonts w:ascii="Arial" w:cs="Arial" w:eastAsia="Arial" w:hAnsi="Arial"/>
          <w:sz w:val="14"/>
          <w:szCs w:val="14"/>
          <w:color w:val="auto"/>
        </w:rPr>
        <w:t>: Analysis demonstrating the relationship of CAP during the past four years to the Company's TSR and the relationship of the Company's TSR to that of its peer group,</w:t>
      </w:r>
      <w:r>
        <w:rPr>
          <w:rFonts w:ascii="Arial" w:cs="Arial" w:eastAsia="Arial" w:hAnsi="Arial"/>
          <w:sz w:val="14"/>
          <w:szCs w:val="14"/>
          <w:b w:val="1"/>
          <w:bCs w:val="1"/>
          <w:color w:val="auto"/>
        </w:rPr>
        <w:t xml:space="preserve"> </w:t>
      </w:r>
      <w:r>
        <w:rPr>
          <w:rFonts w:ascii="Arial" w:cs="Arial" w:eastAsia="Arial" w:hAnsi="Arial"/>
          <w:sz w:val="14"/>
          <w:szCs w:val="14"/>
          <w:color w:val="auto"/>
        </w:rPr>
        <w:t>the NASDAQ Biotechnology Index.</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386080</wp:posOffset>
            </wp:positionV>
            <wp:extent cx="5349240" cy="33947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520"/>
        <w:spacing w:after="0" w:line="285" w:lineRule="auto"/>
        <w:rPr>
          <w:sz w:val="20"/>
          <w:szCs w:val="20"/>
          <w:color w:val="auto"/>
        </w:rPr>
      </w:pPr>
      <w:r>
        <w:rPr>
          <w:rFonts w:ascii="Arial" w:cs="Arial" w:eastAsia="Arial" w:hAnsi="Arial"/>
          <w:sz w:val="14"/>
          <w:szCs w:val="14"/>
          <w:b w:val="1"/>
          <w:bCs w:val="1"/>
          <w:color w:val="auto"/>
        </w:rPr>
        <w:t>Figure 2</w:t>
      </w:r>
      <w:r>
        <w:rPr>
          <w:rFonts w:ascii="Arial" w:cs="Arial" w:eastAsia="Arial" w:hAnsi="Arial"/>
          <w:sz w:val="14"/>
          <w:szCs w:val="14"/>
          <w:color w:val="auto"/>
        </w:rPr>
        <w:t>: Analysis demonstrating the relationship of CAP during the past four years to the Company's net income (loss) for the financial year as presented in the audited</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Statements of Operations and Comprehensive Income (Loss) included in our Annual Report on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List of Performance Measures</w:t>
      </w:r>
    </w:p>
    <w:p>
      <w:pPr>
        <w:spacing w:after="0" w:line="196" w:lineRule="exact"/>
        <w:rPr>
          <w:sz w:val="20"/>
          <w:szCs w:val="20"/>
          <w:color w:val="auto"/>
        </w:rPr>
      </w:pPr>
    </w:p>
    <w:p>
      <w:pPr>
        <w:ind w:right="280" w:firstLine="486"/>
        <w:spacing w:after="0" w:line="287" w:lineRule="auto"/>
        <w:rPr>
          <w:sz w:val="20"/>
          <w:szCs w:val="20"/>
          <w:color w:val="auto"/>
        </w:rPr>
      </w:pPr>
      <w:r>
        <w:rPr>
          <w:rFonts w:ascii="Arial" w:cs="Arial" w:eastAsia="Arial" w:hAnsi="Arial"/>
          <w:sz w:val="18"/>
          <w:szCs w:val="18"/>
          <w:color w:val="auto"/>
        </w:rPr>
        <w:t>As noted above, the only financial performance measure used to link NEO compensation actually paid to Company performance for the year ended December 31, 2024 is our stock price: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512635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26355" cy="137160"/>
                    </a:xfrm>
                    <a:prstGeom prst="rect">
                      <a:avLst/>
                    </a:prstGeom>
                    <a:noFill/>
                  </pic:spPr>
                </pic:pic>
              </a:graphicData>
            </a:graphic>
          </wp:anchor>
        </w:drawing>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Stock price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Practices Regarding the Timing of Equity Awards</w:t>
      </w:r>
    </w:p>
    <w:p>
      <w:pPr>
        <w:spacing w:after="0" w:line="185" w:lineRule="exact"/>
        <w:rPr>
          <w:sz w:val="20"/>
          <w:szCs w:val="20"/>
          <w:color w:val="auto"/>
        </w:rPr>
      </w:pPr>
    </w:p>
    <w:p>
      <w:pPr>
        <w:ind w:firstLine="486"/>
        <w:spacing w:after="0" w:line="246" w:lineRule="auto"/>
        <w:rPr>
          <w:sz w:val="20"/>
          <w:szCs w:val="20"/>
          <w:color w:val="auto"/>
        </w:rPr>
      </w:pPr>
      <w:r>
        <w:rPr>
          <w:rFonts w:ascii="Arial" w:cs="Arial" w:eastAsia="Arial" w:hAnsi="Arial"/>
          <w:sz w:val="18"/>
          <w:szCs w:val="18"/>
          <w:color w:val="212529"/>
        </w:rPr>
        <w:t xml:space="preserve">2024 annual stock options to our NEOs were approved in late 2023 to be effective on January 3, 2024. 2024 annual stock option grants to other employees and other service providers (other than non-employee members of our board of directors) also were approved in advance by our compensation committee or, with respect to certain non-executive service providers, in advance by the equity award committee consisting of Dr. Watts, and effective on January 3, 2024. </w:t>
      </w:r>
      <w:r>
        <w:rPr>
          <w:rFonts w:ascii="Arial" w:cs="Arial" w:eastAsia="Arial" w:hAnsi="Arial"/>
          <w:sz w:val="18"/>
          <w:szCs w:val="18"/>
          <w:color w:val="000000"/>
        </w:rPr>
        <w:t>Other grants of stock options, such as for new hires, promotions or other</w:t>
      </w:r>
      <w:r>
        <w:rPr>
          <w:rFonts w:ascii="Arial" w:cs="Arial" w:eastAsia="Arial" w:hAnsi="Arial"/>
          <w:sz w:val="18"/>
          <w:szCs w:val="18"/>
          <w:color w:val="212529"/>
        </w:rPr>
        <w:t xml:space="preserve"> </w:t>
      </w:r>
      <w:r>
        <w:rPr>
          <w:rFonts w:ascii="Arial" w:cs="Arial" w:eastAsia="Arial" w:hAnsi="Arial"/>
          <w:sz w:val="18"/>
          <w:szCs w:val="18"/>
          <w:color w:val="000000"/>
        </w:rPr>
        <w:t>non-routine grants, approved by the compensation committee typically are awarded during regularly scheduled compensation committee meetings, but periodically may be granted by unanimous written consent of the compensation committee. Other grants of stock options approved by the equity award committee are approved in advance, typically on a monthly basis, with the grants effective on the 3</w:t>
      </w:r>
      <w:r>
        <w:rPr>
          <w:rFonts w:ascii="Arial" w:cs="Arial" w:eastAsia="Arial" w:hAnsi="Arial"/>
          <w:sz w:val="23"/>
          <w:szCs w:val="23"/>
          <w:color w:val="000000"/>
          <w:vertAlign w:val="superscript"/>
        </w:rPr>
        <w:t>rd</w:t>
      </w:r>
      <w:r>
        <w:rPr>
          <w:rFonts w:ascii="Arial" w:cs="Arial" w:eastAsia="Arial" w:hAnsi="Arial"/>
          <w:sz w:val="18"/>
          <w:szCs w:val="18"/>
          <w:color w:val="000000"/>
        </w:rPr>
        <w:t xml:space="preserve"> of the following month. Grants to our non-employee directors are automatically granted pursuant to our outside director compensation policy. We have never granted stock appreciation rights to any service providers.</w:t>
      </w:r>
    </w:p>
    <w:p>
      <w:pPr>
        <w:spacing w:after="0" w:line="151" w:lineRule="exact"/>
        <w:rPr>
          <w:sz w:val="20"/>
          <w:szCs w:val="20"/>
          <w:color w:val="auto"/>
        </w:rPr>
      </w:pPr>
    </w:p>
    <w:p>
      <w:pPr>
        <w:jc w:val="both"/>
        <w:ind w:right="80" w:firstLine="486"/>
        <w:spacing w:after="0" w:line="268" w:lineRule="auto"/>
        <w:rPr>
          <w:sz w:val="20"/>
          <w:szCs w:val="20"/>
          <w:color w:val="auto"/>
        </w:rPr>
      </w:pPr>
      <w:r>
        <w:rPr>
          <w:rFonts w:ascii="Arial" w:cs="Arial" w:eastAsia="Arial" w:hAnsi="Arial"/>
          <w:sz w:val="18"/>
          <w:szCs w:val="18"/>
          <w:color w:val="auto"/>
        </w:rPr>
        <w:t>Our board of directors, compensation committee, and equity award committee do not consider material nonpublic information (“MNPI”) when determining the timing or terms of stock options. Further, we have not timed the release of MNPI for the purpose of affecting the value of executive 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firstLine="486"/>
        <w:spacing w:after="0" w:line="219" w:lineRule="exact"/>
        <w:rPr>
          <w:sz w:val="20"/>
          <w:szCs w:val="20"/>
          <w:color w:val="auto"/>
        </w:rPr>
      </w:pPr>
      <w:r>
        <w:rPr>
          <w:rFonts w:ascii="Arial" w:cs="Arial" w:eastAsia="Arial" w:hAnsi="Arial"/>
          <w:sz w:val="18"/>
          <w:szCs w:val="18"/>
          <w:color w:val="auto"/>
        </w:rPr>
        <w:t>On January 8, 2024, three business days after the 2024 annual stock options were granted to our NEOs, the Company issued a press release and furnished a current report on Form 8-K announcing an update on its programs and expected milestones for 2024, as well as the Company’s participation in the 42nd Annual J.P. Morgan Healthcare Conference. The table below sets forth certain information regarding the 2024 annual stock options award to our NEOs. Except for these options, during fiscal year ended December 31, 2024, we did not grant any stock options to any of our NEOs in any period beginning four business days prior to the filing of a periodic report on Form 10</w:t>
      </w:r>
      <w:r>
        <w:rPr>
          <w:rFonts w:ascii="MS PGothic" w:cs="MS PGothic" w:eastAsia="MS PGothic" w:hAnsi="MS PGothic"/>
          <w:sz w:val="18"/>
          <w:szCs w:val="18"/>
          <w:color w:val="auto"/>
        </w:rPr>
        <w:t>‑</w:t>
      </w:r>
      <w:r>
        <w:rPr>
          <w:rFonts w:ascii="Arial" w:cs="Arial" w:eastAsia="Arial" w:hAnsi="Arial"/>
          <w:sz w:val="18"/>
          <w:szCs w:val="18"/>
          <w:color w:val="auto"/>
        </w:rPr>
        <w:t>Q or Form</w:t>
      </w:r>
    </w:p>
    <w:p>
      <w:pPr>
        <w:spacing w:after="0" w:line="3"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 or the filing or furnishing of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that discloses MNPI, and ending one business day after the filing or furnishing of such report.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Percentage change in</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the closing market price</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the securities</w:t>
            </w:r>
          </w:p>
        </w:tc>
        <w:tc>
          <w:tcPr>
            <w:tcW w:w="0" w:type="dxa"/>
            <w:vAlign w:val="bottom"/>
          </w:tcPr>
          <w:p>
            <w:pPr>
              <w:spacing w:after="0"/>
              <w:rPr>
                <w:sz w:val="1"/>
                <w:szCs w:val="1"/>
                <w:color w:val="auto"/>
              </w:rPr>
            </w:pPr>
          </w:p>
        </w:tc>
      </w:tr>
      <w:tr>
        <w:trPr>
          <w:trHeight w:val="13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underlying the award</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between the trading day</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ending immediately</w:t>
            </w:r>
          </w:p>
        </w:tc>
        <w:tc>
          <w:tcPr>
            <w:tcW w:w="0" w:type="dxa"/>
            <w:vAlign w:val="bottom"/>
          </w:tcPr>
          <w:p>
            <w:pPr>
              <w:spacing w:after="0"/>
              <w:rPr>
                <w:sz w:val="1"/>
                <w:szCs w:val="1"/>
                <w:color w:val="auto"/>
              </w:rPr>
            </w:pPr>
          </w:p>
        </w:tc>
      </w:tr>
      <w:tr>
        <w:trPr>
          <w:trHeight w:val="13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prior to the disclosure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material nonpublic</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information and the</w:t>
            </w:r>
          </w:p>
        </w:tc>
        <w:tc>
          <w:tcPr>
            <w:tcW w:w="0" w:type="dxa"/>
            <w:vAlign w:val="bottom"/>
          </w:tcPr>
          <w:p>
            <w:pPr>
              <w:spacing w:after="0"/>
              <w:rPr>
                <w:sz w:val="1"/>
                <w:szCs w:val="1"/>
                <w:color w:val="auto"/>
              </w:rPr>
            </w:pPr>
          </w:p>
        </w:tc>
      </w:tr>
      <w:tr>
        <w:trPr>
          <w:trHeight w:val="13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trading day beginning</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immediately following</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2"/>
                <w:szCs w:val="12"/>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 of the</w:t>
            </w:r>
          </w:p>
        </w:tc>
        <w:tc>
          <w:tcPr>
            <w:tcW w:w="80" w:type="dxa"/>
            <w:vAlign w:val="bottom"/>
          </w:tcPr>
          <w:p>
            <w:pPr>
              <w:spacing w:after="0"/>
              <w:rPr>
                <w:sz w:val="12"/>
                <w:szCs w:val="12"/>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 fair value</w:t>
            </w: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the disclosure of</w:t>
            </w:r>
          </w:p>
        </w:tc>
        <w:tc>
          <w:tcPr>
            <w:tcW w:w="0" w:type="dxa"/>
            <w:vAlign w:val="bottom"/>
          </w:tcPr>
          <w:p>
            <w:pPr>
              <w:spacing w:after="0"/>
              <w:rPr>
                <w:sz w:val="1"/>
                <w:szCs w:val="1"/>
                <w:color w:val="auto"/>
              </w:rPr>
            </w:pPr>
          </w:p>
        </w:tc>
      </w:tr>
      <w:tr>
        <w:trPr>
          <w:trHeight w:val="137"/>
        </w:trPr>
        <w:tc>
          <w:tcPr>
            <w:tcW w:w="266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160" w:type="dxa"/>
            <w:vAlign w:val="bottom"/>
            <w:vMerge w:val="restart"/>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0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material nonpublic</w:t>
            </w:r>
          </w:p>
        </w:tc>
        <w:tc>
          <w:tcPr>
            <w:tcW w:w="0" w:type="dxa"/>
            <w:vAlign w:val="bottom"/>
          </w:tcPr>
          <w:p>
            <w:pPr>
              <w:spacing w:after="0"/>
              <w:rPr>
                <w:sz w:val="1"/>
                <w:szCs w:val="1"/>
                <w:color w:val="auto"/>
              </w:rPr>
            </w:pPr>
          </w:p>
        </w:tc>
      </w:tr>
      <w:tr>
        <w:trPr>
          <w:trHeight w:val="187"/>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underlying the award</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award ($/share)</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of the award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8"/>
              </w:rPr>
              <w:t>information</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J. Watts, Ph.D.</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01/03/2024</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268,560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3,405,851</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98"/>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Alexander O. Schuth, M.D.</w:t>
            </w: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01/03/2024</w:t>
            </w:r>
          </w:p>
        </w:tc>
        <w:tc>
          <w:tcPr>
            <w:tcW w:w="16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161,160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20.33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ind w:right="13"/>
              <w:spacing w:after="0"/>
              <w:rPr>
                <w:sz w:val="20"/>
                <w:szCs w:val="20"/>
                <w:color w:val="auto"/>
              </w:rPr>
            </w:pPr>
            <w:r>
              <w:rPr>
                <w:rFonts w:ascii="Arial" w:cs="Arial" w:eastAsia="Arial" w:hAnsi="Arial"/>
                <w:sz w:val="13"/>
                <w:szCs w:val="13"/>
                <w:color w:val="auto"/>
              </w:rPr>
              <w:t>2,043,815</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207"/>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Carole Ho, M.D.</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01/03/2024</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161,160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2,043,815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75"/>
        </w:trPr>
        <w:tc>
          <w:tcPr>
            <w:tcW w:w="2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1"/>
          <w:szCs w:val="11"/>
          <w:color w:val="auto"/>
        </w:rPr>
      </w:pPr>
      <w:r>
        <w:rPr>
          <w:rFonts w:ascii="Arial" w:cs="Arial" w:eastAsia="Arial" w:hAnsi="Arial"/>
          <w:sz w:val="14"/>
          <w:szCs w:val="14"/>
          <w:color w:val="auto"/>
        </w:rPr>
        <w:t>Calculated using the closing price of our common stock on NASDAQ on January 5, 2024 and January 9, 2024, of $19.34 and $19.74, per share, respectively.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85"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Each non-employee director is eligible to receive compensation for his or her service consisting of annual cash retainers and equity awards under our outside director compensation policy, which was originally adopted in November 2017 and became effective in connection with the initial public offering of our securities in December 2017. Our outside director compensation policy was crafted in consultation with Aon, an independent consultant, in anticipation of our initial public offering. Aon provided us with competitive data, analysis and recommendations regarding non-employee director compensation. After careful consideration of this information and the scope of the duties and responsibilities of our non-employee directors, our board of directors approved our outside director compensation policy, which we believe provides reasonable compensation to our non-employee directors that is commensurate with their contributions and appropriately aligned with our peers. Our outside director compensation policy has been amended periodically, most recently in January 2025. We also reimburse our directors for expenses associated with attending meetings of our board of directors and committees of our board of directors.</w:t>
      </w:r>
    </w:p>
    <w:p>
      <w:pPr>
        <w:spacing w:after="0" w:line="147"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Pursuant to our amended outside director compensation policy, all non-employee directors (also referred to as "outside directors") were paid cash compensation as set forth below during the year ended December 31, 2024. The cash compensation our outside directors are entitled to receive for their services for 2025 are also set forth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2024 Annual</w:t>
            </w:r>
          </w:p>
        </w:tc>
        <w:tc>
          <w:tcPr>
            <w:tcW w:w="180" w:type="dxa"/>
            <w:vAlign w:val="bottom"/>
          </w:tcPr>
          <w:p>
            <w:pPr>
              <w:spacing w:after="0"/>
              <w:rPr>
                <w:sz w:val="14"/>
                <w:szCs w:val="14"/>
                <w:color w:val="auto"/>
              </w:rPr>
            </w:pPr>
          </w:p>
        </w:tc>
        <w:tc>
          <w:tcPr>
            <w:tcW w:w="1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2025 Annual Retainer</w:t>
            </w:r>
          </w:p>
        </w:tc>
        <w:tc>
          <w:tcPr>
            <w:tcW w:w="0" w:type="dxa"/>
            <w:vAlign w:val="bottom"/>
          </w:tcPr>
          <w:p>
            <w:pPr>
              <w:spacing w:after="0"/>
              <w:rPr>
                <w:sz w:val="1"/>
                <w:szCs w:val="1"/>
                <w:color w:val="auto"/>
              </w:rPr>
            </w:pPr>
          </w:p>
        </w:tc>
      </w:tr>
      <w:tr>
        <w:trPr>
          <w:trHeight w:val="197"/>
        </w:trPr>
        <w:tc>
          <w:tcPr>
            <w:tcW w:w="7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Retainer</w:t>
            </w:r>
          </w:p>
        </w:tc>
        <w:tc>
          <w:tcPr>
            <w:tcW w:w="18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Board of Directors:</w:t>
            </w:r>
          </w:p>
        </w:tc>
        <w:tc>
          <w:tcPr>
            <w:tcW w:w="38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260" w:type="dxa"/>
            <w:vAlign w:val="bottom"/>
          </w:tcPr>
          <w:p>
            <w:pPr>
              <w:ind w:left="240"/>
              <w:spacing w:after="0"/>
              <w:rPr>
                <w:sz w:val="20"/>
                <w:szCs w:val="20"/>
                <w:color w:val="auto"/>
              </w:rPr>
            </w:pPr>
            <w:r>
              <w:rPr>
                <w:rFonts w:ascii="Arial" w:cs="Arial" w:eastAsia="Arial" w:hAnsi="Arial"/>
                <w:sz w:val="14"/>
                <w:szCs w:val="14"/>
                <w:color w:val="auto"/>
              </w:rPr>
              <w:t>All non-employee members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45,000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retainer for Non-Executive Chairperson of the Board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201"/>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Audit Committee:</w:t>
            </w: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retainer for Chairperson</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8"/>
        </w:trPr>
        <w:tc>
          <w:tcPr>
            <w:tcW w:w="7260" w:type="dxa"/>
            <w:vAlign w:val="bottom"/>
          </w:tcPr>
          <w:p>
            <w:pPr>
              <w:ind w:left="240"/>
              <w:spacing w:after="0"/>
              <w:rPr>
                <w:sz w:val="20"/>
                <w:szCs w:val="20"/>
                <w:color w:val="auto"/>
              </w:rPr>
            </w:pPr>
            <w:r>
              <w:rPr>
                <w:rFonts w:ascii="Arial" w:cs="Arial" w:eastAsia="Arial" w:hAnsi="Arial"/>
                <w:sz w:val="14"/>
                <w:szCs w:val="14"/>
                <w:color w:val="auto"/>
              </w:rPr>
              <w:t>Additional retainer for Non-Chairperson members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Compensation Committee:</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tcPr>
          <w:p>
            <w:pPr>
              <w:ind w:left="240"/>
              <w:spacing w:after="0"/>
              <w:rPr>
                <w:sz w:val="20"/>
                <w:szCs w:val="20"/>
                <w:color w:val="auto"/>
              </w:rPr>
            </w:pPr>
            <w:r>
              <w:rPr>
                <w:rFonts w:ascii="Arial" w:cs="Arial" w:eastAsia="Arial" w:hAnsi="Arial"/>
                <w:sz w:val="14"/>
                <w:szCs w:val="14"/>
                <w:color w:val="auto"/>
              </w:rPr>
              <w:t>Additional retainer for Chairperson</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retainer for Non-Chairperson members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02"/>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Corporate Governance and Nominating Committee:</w:t>
            </w: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retainer for Chairperson</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8"/>
        </w:trPr>
        <w:tc>
          <w:tcPr>
            <w:tcW w:w="7260" w:type="dxa"/>
            <w:vAlign w:val="bottom"/>
          </w:tcPr>
          <w:p>
            <w:pPr>
              <w:ind w:left="240"/>
              <w:spacing w:after="0"/>
              <w:rPr>
                <w:sz w:val="20"/>
                <w:szCs w:val="20"/>
                <w:color w:val="auto"/>
              </w:rPr>
            </w:pPr>
            <w:r>
              <w:rPr>
                <w:rFonts w:ascii="Arial" w:cs="Arial" w:eastAsia="Arial" w:hAnsi="Arial"/>
                <w:sz w:val="14"/>
                <w:szCs w:val="14"/>
                <w:color w:val="auto"/>
              </w:rPr>
              <w:t>Additional retainer for Non-Chairperson members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Science and Technology Committee:</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tcPr>
          <w:p>
            <w:pPr>
              <w:ind w:left="240"/>
              <w:spacing w:after="0"/>
              <w:rPr>
                <w:sz w:val="20"/>
                <w:szCs w:val="20"/>
                <w:color w:val="auto"/>
              </w:rPr>
            </w:pPr>
            <w:r>
              <w:rPr>
                <w:rFonts w:ascii="Arial" w:cs="Arial" w:eastAsia="Arial" w:hAnsi="Arial"/>
                <w:sz w:val="14"/>
                <w:szCs w:val="14"/>
                <w:color w:val="auto"/>
              </w:rPr>
              <w:t>Additional retainer for Chairperson</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7"/>
        </w:trPr>
        <w:tc>
          <w:tcPr>
            <w:tcW w:w="7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retainer for Non-Chairperson members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0" w:firstLine="486"/>
        <w:spacing w:after="0" w:line="268" w:lineRule="auto"/>
        <w:rPr>
          <w:sz w:val="20"/>
          <w:szCs w:val="20"/>
          <w:color w:val="auto"/>
        </w:rPr>
      </w:pPr>
      <w:r>
        <w:rPr>
          <w:rFonts w:ascii="Arial" w:cs="Arial" w:eastAsia="Arial" w:hAnsi="Arial"/>
          <w:sz w:val="18"/>
          <w:szCs w:val="18"/>
          <w:color w:val="auto"/>
        </w:rPr>
        <w:t>All cash payments to non-employee directors who served in the relevant capacity at any point during the immediately preceding prior fiscal quarter will be paid quarterly in arrears, prorated for the portion of the fiscal quarter for which the non-employee director served in the relevant capacity.</w:t>
      </w:r>
    </w:p>
    <w:p>
      <w:pPr>
        <w:spacing w:after="0" w:line="13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nondiscretionary, automatic grants of stock options will be made to our non-employee directors under our amended outside director compensation policy. Under our 2017 Plan, no non-employee directors may be granted, in any fiscal year, awards with a grant date fair value (determined in accordance with U.S. generally accepted accounting principles) of more than $1 million, increased to $1.6 million in connection with his or her initial service. Any awards granted to an individual while he or she was an employee, or while he or she was a consultant but not a non-employee director, will not count for purposes of these limitations.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outside director compensation policy provides for initial awards of a nonstatutory stock option to purchase shares of our common stock and an initial award RSUs together having an aggregate Company-assessed value of approximately $700,000 (with the shares covered by each award rounded down to the nearest whole share), effective on the date on which such person first becomes elected as a non-employee director. 60% of the value of the initial awards is in nonstatutory stock options (the “Initial Option”), while the remaining 40% is in RSUs (the “Initial RSU”). Specifically, the number of shares subject to the Initial Option is 60% of the number of shares that would be subject to a stock option granted on the same date having a grant date fair value of $700,000. For this purpose, the Company values RSUs as 1 RSU for every 2 shares subject to an option, and therefore the number of shares subject to the Initial RSU is: (x) 40% of the number of shares that would be subject to a stock option granted on the same date having a grant date fair value of $700,000, divided by (y) two.</w:t>
      </w:r>
    </w:p>
    <w:p>
      <w:pPr>
        <w:spacing w:after="0" w:line="158"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Subject to the terms of the policy, the Initial Option vests as to 1/4th of the shares subject thereto on the one-year anniversary of the initial award’s grant date and as to 1/48th of the shares subject to the Initial Option on each monthly anniversary of the date of grant thereafter (and if there is no corresponding day, on the last day of the month), in each case, provided that the non-employee director continues to serve as a non-employee director through the applicable vesting date. Subject to the terms of the policy, the Initial RSU award vests over a four-year period commencing on the Initial RSU's grant date, with 1/4th of the shares vesting on each anniversary of the Initial RSU’s grant date (or, for the last tranche that otherwise would vest on the fourth anniversary of the grant date, on such anniversary or, if earlier, on the day prior to our next annual meeting of stockholders occurring after the third anniversary of the grant date), in each case, provided that the non-employee director continues to serve as a non-employee director through the applicable vesting date.</w:t>
      </w:r>
    </w:p>
    <w:p>
      <w:pPr>
        <w:spacing w:after="0" w:line="1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outside director compensation policy provides for annual awards having a grant date fair value of approximately $400,000, split approximately 60/40 between options and RSUs. The mechanics are as follows: on the date of each annual meeting of stockholders, each non-employee director who, as of such annual meeting date, has served on the board as a director for at least the preceding six months, is automatically granted a nonstatutory stock option to purchase shares of our common stock and an initial award RSUs together having an aggregate Company-assessed value of approximately $400,000 (with the shares covered by each award rounded down to the nearest whole share), effective on the date of the annual meeting. 60% of the value of the annual awards is in nonstatutory stock options (the “Annual Option”), while the remaining 40% was in RSUs (the Annual RSU). Specifically, the number of shares subject to Annual Option is 60% of the number of shares that would be subject to a stock option granted on the same date having a grant date fair value of $400,000. For this purpose, the Company values RSUs as 1 RSU for every 2 shares subject to an option, and therefore the number of shares subject to the Annual RSU is: (x) 40% of the number of shares that would be subject to a stock option granted on the same date having a grant date fair value of $400,000, divided by (y) two. Any non-employee director who is not continuing as a director following the applicable annual meeting will not receive an Annual Option or Annual RSU with respect to such annual meeting.</w:t>
      </w:r>
    </w:p>
    <w:p>
      <w:pPr>
        <w:spacing w:after="0" w:line="21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Subject to the terms of the policy, the Annual Option and Annual RSU vest and become exercisable as to 100% of the shares subject to the Annual Option and Annual RSU upon the earlier of the one year anniversary of the grant date or the day prior to our next annual meeting of stockholders occurring after the grant date, in each case, provided that the non-employee director continues to serve as a non-employee director through the applicable vesting date.</w:t>
      </w:r>
    </w:p>
    <w:p>
      <w:pPr>
        <w:spacing w:after="0" w:line="13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2017 Plan provides that in the event of a merger or change in control, as defined in our 2017 Plan, where awards granted to non-employee directors are assumed or substituted for, if on the date of or following such assumption or substitution, the non-employee director’s status as a director or director of the successor corporation, as applicable, is terminated other than upon a voluntary resignation by the non-employee director (unless such resignation is at the request of the acquirer), then each outstanding equity award granted under our 2017 Plan to a non-employee director will fully vest, all restrictions on the shares subject to such award will lapse, and with respect to awards with performance-based vesting, all performance goals or other vesting criteria will be deemed achieved at 100% of target levels, and all of the shares subject to such award will become fully exercisable, if applicable, unless specifically provided otherwise under the applicable award agreement or other written agreement with the director.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outside director compensation policy provides that until at least the date of the annual meeting held in 2025, neither the cash retainers nor the value of equity compensation payable under our outside director compensation policy will be raised to a level that is in excess of the 75th percentile of the cash retainers or value of equity award compensation, respectively, paid by the then-applicable peer group, as approved by the compensation committee of our board of directors, to their non-employee directors. Notwithstanding the foregoing, newly elected or appointed outside directors may receive total cash and equity compensation in connection with their initial appointment or election to the Board having an aggregate value of up to two times the total of (x) the aggregate amount of annual cash retainers that could be provided to any incumbent outside director under the terms of the then effective outside director compensation policy, and (y) the value of annual awards that could be provided to any incumbent outside director under the terms of the then-effective outside director compensation policy. Further, the policy provides that Company will determine its peer group annually based on such factors as the compensation committee or the Board deems relevant after discussion with the compensation committee’s consultant, and will consider for inclusion in the peer group, among other companies, companies which are operating in the same industries as the Company (by reference to Global Industry Classification Standard code or similar reasonable identifiers, which may change from time to time), and similar in size to the Company based on market capitalization (or, during volatile market conditions, revenue, if so determined by the compensation committee or the Board, as applicable).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Director Compensation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during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 Paid in</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Cash</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28"/>
              <w:spacing w:after="0" w:line="195"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8"/>
              <w:spacing w:after="0" w:line="195"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19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Vicki Sato, Ph.D.</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399,465</w:t>
            </w:r>
          </w:p>
        </w:tc>
      </w:tr>
      <w:tr>
        <w:trPr>
          <w:trHeight w:val="198"/>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Jennifer Cook</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55,000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369,465</w:t>
            </w:r>
          </w:p>
        </w:tc>
      </w:tr>
      <w:tr>
        <w:trPr>
          <w:trHeight w:val="20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Jay Flatley</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384,465</w:t>
            </w:r>
          </w:p>
        </w:tc>
      </w:tr>
      <w:tr>
        <w:trPr>
          <w:trHeight w:val="198"/>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Erik Harris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55,000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369,465</w:t>
            </w:r>
          </w:p>
        </w:tc>
      </w:tr>
      <w:tr>
        <w:trPr>
          <w:trHeight w:val="20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Peter Klein</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389,431</w:t>
            </w:r>
          </w:p>
        </w:tc>
      </w:tr>
      <w:tr>
        <w:trPr>
          <w:trHeight w:val="198"/>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Steve E. Krognes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45,000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359,465</w:t>
            </w:r>
          </w:p>
        </w:tc>
      </w:tr>
      <w:tr>
        <w:trPr>
          <w:trHeight w:val="20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Schenkein, M.D.</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379,465</w:t>
            </w:r>
          </w:p>
        </w:tc>
      </w:tr>
      <w:tr>
        <w:trPr>
          <w:trHeight w:val="198"/>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Marc Tessier-Lavigne, Ph.D.</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57,500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371,965</w:t>
            </w:r>
          </w:p>
        </w:tc>
      </w:tr>
      <w:tr>
        <w:trPr>
          <w:trHeight w:val="20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Nancy A. Thornberry</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374,465</w:t>
            </w:r>
          </w:p>
        </w:tc>
      </w:tr>
      <w:tr>
        <w:trPr>
          <w:trHeight w:val="175"/>
        </w:trPr>
        <w:tc>
          <w:tcPr>
            <w:tcW w:w="4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261" w:lineRule="exact"/>
        <w:rPr>
          <w:sz w:val="20"/>
          <w:szCs w:val="20"/>
          <w:color w:val="auto"/>
        </w:rPr>
      </w:pPr>
    </w:p>
    <w:p>
      <w:pPr>
        <w:ind w:left="500" w:right="480" w:hanging="492"/>
        <w:spacing w:after="0" w:line="261" w:lineRule="auto"/>
        <w:tabs>
          <w:tab w:leader="none" w:pos="497" w:val="left"/>
        </w:tabs>
        <w:numPr>
          <w:ilvl w:val="0"/>
          <w:numId w:val="44"/>
        </w:numPr>
        <w:rPr>
          <w:rFonts w:ascii="Arial" w:cs="Arial" w:eastAsia="Arial" w:hAnsi="Arial"/>
          <w:sz w:val="11"/>
          <w:szCs w:val="11"/>
          <w:color w:val="auto"/>
        </w:rPr>
      </w:pPr>
      <w:r>
        <w:rPr>
          <w:rFonts w:ascii="Arial" w:cs="Arial" w:eastAsia="Arial" w:hAnsi="Arial"/>
          <w:sz w:val="14"/>
          <w:szCs w:val="14"/>
          <w:color w:val="auto"/>
        </w:rPr>
        <w:t>The amounts included in this column reflect the aggregate grant date fair value of RSUs granted during 2024 based on the closing market price of the Company’s common stock on the date of grant.</w:t>
      </w:r>
    </w:p>
    <w:p>
      <w:pPr>
        <w:spacing w:after="0" w:line="1" w:lineRule="exact"/>
        <w:rPr>
          <w:rFonts w:ascii="Arial" w:cs="Arial" w:eastAsia="Arial" w:hAnsi="Arial"/>
          <w:sz w:val="11"/>
          <w:szCs w:val="11"/>
          <w:color w:val="auto"/>
        </w:rPr>
      </w:pPr>
    </w:p>
    <w:p>
      <w:pPr>
        <w:ind w:left="500" w:right="120" w:hanging="492"/>
        <w:spacing w:after="0" w:line="262" w:lineRule="auto"/>
        <w:tabs>
          <w:tab w:leader="none" w:pos="497" w:val="left"/>
        </w:tabs>
        <w:numPr>
          <w:ilvl w:val="0"/>
          <w:numId w:val="44"/>
        </w:numPr>
        <w:rPr>
          <w:rFonts w:ascii="Arial" w:cs="Arial" w:eastAsia="Arial" w:hAnsi="Arial"/>
          <w:sz w:val="11"/>
          <w:szCs w:val="11"/>
          <w:color w:val="auto"/>
        </w:rPr>
      </w:pPr>
      <w:r>
        <w:rPr>
          <w:rFonts w:ascii="Arial" w:cs="Arial" w:eastAsia="Arial" w:hAnsi="Arial"/>
          <w:sz w:val="14"/>
          <w:szCs w:val="14"/>
          <w:color w:val="auto"/>
        </w:rPr>
        <w:t>This column reflects the aggregate grant date fair value of stock options granted during 2024 computed in accordance with the provisions of Accounting Standards Codification (ASC) 718, Compensation—Stock Compensation. The assumptions that we used to calculate these amounts are discussed in Note 9 to our audited consolidated financial statements for the year ended December 31, 2024 included in our Annual Report on Form 10-K for the year ended December 31, 2024. These amounts do not reflect the actual economic value that will be realized by the director upon the vesting of the stock options, the exercise of the stock options, or the sale of the common stock underlying such stock options.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information about the compensation of directors who are also our employees, see “Executive Compensation.”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Outstanding Equity Awards as of 2024 Fiscal Year End</w:t>
      </w:r>
    </w:p>
    <w:p>
      <w:pPr>
        <w:spacing w:after="0" w:line="185" w:lineRule="exact"/>
        <w:rPr>
          <w:sz w:val="20"/>
          <w:szCs w:val="20"/>
          <w:color w:val="auto"/>
        </w:rPr>
      </w:pPr>
    </w:p>
    <w:p>
      <w:pPr>
        <w:ind w:right="200" w:firstLine="486"/>
        <w:spacing w:after="0" w:line="287" w:lineRule="auto"/>
        <w:rPr>
          <w:sz w:val="20"/>
          <w:szCs w:val="20"/>
          <w:color w:val="auto"/>
        </w:rPr>
      </w:pPr>
      <w:r>
        <w:rPr>
          <w:rFonts w:ascii="Arial" w:cs="Arial" w:eastAsia="Arial" w:hAnsi="Arial"/>
          <w:sz w:val="18"/>
          <w:szCs w:val="18"/>
          <w:color w:val="auto"/>
        </w:rPr>
        <w:t>The following table sets forth information regarding the equity awards that were outstanding as of December 31, 2024 for each of the non-employee directors serving during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3"/>
        </w:trPr>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Number of Securities</w:t>
            </w:r>
          </w:p>
        </w:tc>
        <w:tc>
          <w:tcPr>
            <w:tcW w:w="1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39"/>
        </w:trPr>
        <w:tc>
          <w:tcPr>
            <w:tcW w:w="7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7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Underlying</w:t>
            </w:r>
          </w:p>
        </w:tc>
        <w:tc>
          <w:tcPr>
            <w:tcW w:w="1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197"/>
        </w:trPr>
        <w:tc>
          <w:tcPr>
            <w:tcW w:w="7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Unexercised Options</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9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Vicki Sato, Ph.D.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209,654</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Jennifer Cook</w:t>
            </w:r>
          </w:p>
        </w:tc>
        <w:tc>
          <w:tcPr>
            <w:tcW w:w="1660" w:type="dxa"/>
            <w:vAlign w:val="bottom"/>
          </w:tcPr>
          <w:p>
            <w:pPr>
              <w:jc w:val="right"/>
              <w:spacing w:after="0"/>
              <w:rPr>
                <w:sz w:val="20"/>
                <w:szCs w:val="20"/>
                <w:color w:val="auto"/>
              </w:rPr>
            </w:pPr>
            <w:r>
              <w:rPr>
                <w:rFonts w:ascii="Arial" w:cs="Arial" w:eastAsia="Arial" w:hAnsi="Arial"/>
                <w:sz w:val="14"/>
                <w:szCs w:val="14"/>
                <w:color w:val="auto"/>
              </w:rPr>
              <w:t>147,203</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20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Jay Flatley</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172,154</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Erik Harris</w:t>
            </w:r>
          </w:p>
        </w:tc>
        <w:tc>
          <w:tcPr>
            <w:tcW w:w="1660" w:type="dxa"/>
            <w:vAlign w:val="bottom"/>
          </w:tcPr>
          <w:p>
            <w:pPr>
              <w:jc w:val="right"/>
              <w:spacing w:after="0"/>
              <w:rPr>
                <w:sz w:val="20"/>
                <w:szCs w:val="20"/>
                <w:color w:val="auto"/>
              </w:rPr>
            </w:pPr>
            <w:r>
              <w:rPr>
                <w:rFonts w:ascii="Arial" w:cs="Arial" w:eastAsia="Arial" w:hAnsi="Arial"/>
                <w:sz w:val="14"/>
                <w:szCs w:val="14"/>
                <w:color w:val="auto"/>
              </w:rPr>
              <w:t>51,157</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9,402</w:t>
            </w:r>
          </w:p>
        </w:tc>
        <w:tc>
          <w:tcPr>
            <w:tcW w:w="0" w:type="dxa"/>
            <w:vAlign w:val="bottom"/>
          </w:tcPr>
          <w:p>
            <w:pPr>
              <w:spacing w:after="0"/>
              <w:rPr>
                <w:sz w:val="1"/>
                <w:szCs w:val="1"/>
                <w:color w:val="auto"/>
              </w:rPr>
            </w:pPr>
          </w:p>
        </w:tc>
      </w:tr>
      <w:tr>
        <w:trPr>
          <w:trHeight w:val="20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Peter Klein</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135,113</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Steve E. Krognes</w:t>
            </w:r>
          </w:p>
        </w:tc>
        <w:tc>
          <w:tcPr>
            <w:tcW w:w="1660" w:type="dxa"/>
            <w:vAlign w:val="bottom"/>
          </w:tcPr>
          <w:p>
            <w:pPr>
              <w:jc w:val="right"/>
              <w:spacing w:after="0"/>
              <w:rPr>
                <w:sz w:val="20"/>
                <w:szCs w:val="20"/>
                <w:color w:val="auto"/>
              </w:rPr>
            </w:pPr>
            <w:r>
              <w:rPr>
                <w:rFonts w:ascii="Arial" w:cs="Arial" w:eastAsia="Arial" w:hAnsi="Arial"/>
                <w:sz w:val="14"/>
                <w:szCs w:val="14"/>
                <w:color w:val="auto"/>
              </w:rPr>
              <w:t>120,550</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13,467</w:t>
            </w:r>
          </w:p>
        </w:tc>
        <w:tc>
          <w:tcPr>
            <w:tcW w:w="0" w:type="dxa"/>
            <w:vAlign w:val="bottom"/>
          </w:tcPr>
          <w:p>
            <w:pPr>
              <w:spacing w:after="0"/>
              <w:rPr>
                <w:sz w:val="1"/>
                <w:szCs w:val="1"/>
                <w:color w:val="auto"/>
              </w:rPr>
            </w:pPr>
          </w:p>
        </w:tc>
      </w:tr>
      <w:tr>
        <w:trPr>
          <w:trHeight w:val="20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Schenkein, M.D.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124,989</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4"/>
                <w:szCs w:val="14"/>
                <w:color w:val="auto"/>
              </w:rPr>
              <w:t>Marc Tessier-Lavigne, Ph.D.</w:t>
            </w:r>
          </w:p>
        </w:tc>
        <w:tc>
          <w:tcPr>
            <w:tcW w:w="1660" w:type="dxa"/>
            <w:vAlign w:val="bottom"/>
          </w:tcPr>
          <w:p>
            <w:pPr>
              <w:jc w:val="right"/>
              <w:spacing w:after="0"/>
              <w:rPr>
                <w:sz w:val="20"/>
                <w:szCs w:val="20"/>
                <w:color w:val="auto"/>
              </w:rPr>
            </w:pPr>
            <w:r>
              <w:rPr>
                <w:rFonts w:ascii="Arial" w:cs="Arial" w:eastAsia="Arial" w:hAnsi="Arial"/>
                <w:sz w:val="14"/>
                <w:szCs w:val="14"/>
                <w:color w:val="auto"/>
              </w:rPr>
              <w:t>77,776</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20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Nancy A. Thornberry</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56,044</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8" w:lineRule="exact"/>
        <w:rPr>
          <w:sz w:val="20"/>
          <w:szCs w:val="20"/>
          <w:color w:val="auto"/>
        </w:rPr>
      </w:pPr>
    </w:p>
    <w:p>
      <w:pPr>
        <w:ind w:right="420" w:firstLine="486"/>
        <w:spacing w:after="0" w:line="287" w:lineRule="auto"/>
        <w:rPr>
          <w:sz w:val="20"/>
          <w:szCs w:val="20"/>
          <w:color w:val="auto"/>
        </w:rPr>
      </w:pPr>
      <w:r>
        <w:rPr>
          <w:rFonts w:ascii="Arial" w:cs="Arial" w:eastAsia="Arial" w:hAnsi="Arial"/>
          <w:sz w:val="18"/>
          <w:szCs w:val="18"/>
          <w:color w:val="auto"/>
        </w:rPr>
        <w:t>The following table provides information as of December 31, 2024 with respect to shares of our common stock that may be issued under our existing equity compensation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Issued upon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 Average</w:t>
            </w:r>
          </w:p>
        </w:tc>
        <w:tc>
          <w:tcPr>
            <w:tcW w:w="2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Exercise Price of</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the first</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and Rights</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w:t>
            </w:r>
          </w:p>
        </w:tc>
        <w:tc>
          <w:tcPr>
            <w:tcW w:w="0" w:type="dxa"/>
            <w:vAlign w:val="bottom"/>
          </w:tcPr>
          <w:p>
            <w:pPr>
              <w:spacing w:after="0"/>
              <w:rPr>
                <w:sz w:val="1"/>
                <w:szCs w:val="1"/>
                <w:color w:val="auto"/>
              </w:rPr>
            </w:pPr>
          </w:p>
        </w:tc>
      </w:tr>
      <w:tr>
        <w:trPr>
          <w:trHeight w:val="196"/>
        </w:trPr>
        <w:tc>
          <w:tcPr>
            <w:tcW w:w="5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Equity compensation plans approved by security holders</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60"/>
              <w:spacing w:after="0" w:line="202" w:lineRule="exact"/>
              <w:rPr>
                <w:sz w:val="20"/>
                <w:szCs w:val="20"/>
                <w:color w:val="auto"/>
              </w:rPr>
            </w:pPr>
            <w:r>
              <w:rPr>
                <w:rFonts w:ascii="Arial" w:cs="Arial" w:eastAsia="Arial" w:hAnsi="Arial"/>
                <w:sz w:val="14"/>
                <w:szCs w:val="14"/>
                <w:i w:val="1"/>
                <w:iCs w:val="1"/>
                <w:color w:val="auto"/>
              </w:rPr>
              <w:t>2015 Stock Incentive Plan</w:t>
            </w:r>
            <w:r>
              <w:rPr>
                <w:rFonts w:ascii="Arial" w:cs="Arial" w:eastAsia="Arial" w:hAnsi="Arial"/>
                <w:sz w:val="18"/>
                <w:szCs w:val="18"/>
                <w:i w:val="1"/>
                <w:iCs w:val="1"/>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4"/>
                <w:szCs w:val="14"/>
                <w:color w:val="auto"/>
              </w:rPr>
              <w:t>2,351,546</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4"/>
                <w:szCs w:val="14"/>
                <w:i w:val="1"/>
                <w:iCs w:val="1"/>
                <w:color w:val="auto"/>
              </w:rPr>
              <w:t>2017 Equity Incentive Plan</w:t>
            </w:r>
            <w:r>
              <w:rPr>
                <w:rFonts w:ascii="Arial" w:cs="Arial" w:eastAsia="Arial" w:hAnsi="Arial"/>
                <w:sz w:val="18"/>
                <w:szCs w:val="18"/>
                <w:i w:val="1"/>
                <w:iCs w:val="1"/>
                <w:color w:val="auto"/>
                <w:vertAlign w:val="superscript"/>
              </w:rPr>
              <w:t>(2)</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20,437,118</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23.42</w:t>
            </w: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14,302,049</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60"/>
              <w:spacing w:after="0" w:line="202" w:lineRule="exact"/>
              <w:rPr>
                <w:sz w:val="20"/>
                <w:szCs w:val="20"/>
                <w:color w:val="auto"/>
              </w:rPr>
            </w:pPr>
            <w:r>
              <w:rPr>
                <w:rFonts w:ascii="Arial" w:cs="Arial" w:eastAsia="Arial" w:hAnsi="Arial"/>
                <w:sz w:val="14"/>
                <w:szCs w:val="14"/>
                <w:i w:val="1"/>
                <w:iCs w:val="1"/>
                <w:color w:val="auto"/>
              </w:rPr>
              <w:t>2017 Employee Stock Purchase Plan</w:t>
            </w:r>
            <w:r>
              <w:rPr>
                <w:rFonts w:ascii="Arial" w:cs="Arial" w:eastAsia="Arial" w:hAnsi="Arial"/>
                <w:sz w:val="18"/>
                <w:szCs w:val="18"/>
                <w:i w:val="1"/>
                <w:iCs w:val="1"/>
                <w:color w:val="auto"/>
                <w:vertAlign w:val="superscript"/>
              </w:rPr>
              <w:t>(3)</w:t>
            </w: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6,568,147</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Equity compensation plans not approved by security holders</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74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740" w:type="dxa"/>
            <w:vAlign w:val="bottom"/>
          </w:tcPr>
          <w:p>
            <w:pPr>
              <w:jc w:val="right"/>
              <w:spacing w:after="0"/>
              <w:rPr>
                <w:sz w:val="20"/>
                <w:szCs w:val="20"/>
                <w:color w:val="auto"/>
              </w:rPr>
            </w:pPr>
            <w:r>
              <w:rPr>
                <w:rFonts w:ascii="Arial" w:cs="Arial" w:eastAsia="Arial" w:hAnsi="Arial"/>
                <w:sz w:val="14"/>
                <w:szCs w:val="14"/>
                <w:color w:val="auto"/>
              </w:rPr>
              <w:t>22,788,664</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21.28</w:t>
            </w:r>
          </w:p>
        </w:tc>
        <w:tc>
          <w:tcPr>
            <w:tcW w:w="12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20,870,196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0518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49" w:lineRule="exact"/>
        <w:rPr>
          <w:sz w:val="20"/>
          <w:szCs w:val="20"/>
          <w:color w:val="auto"/>
        </w:rPr>
      </w:pPr>
    </w:p>
    <w:p>
      <w:pPr>
        <w:ind w:left="500" w:right="100" w:hanging="492"/>
        <w:spacing w:after="0" w:line="272" w:lineRule="auto"/>
        <w:tabs>
          <w:tab w:leader="none" w:pos="497" w:val="left"/>
        </w:tabs>
        <w:numPr>
          <w:ilvl w:val="0"/>
          <w:numId w:val="45"/>
        </w:numPr>
        <w:rPr>
          <w:rFonts w:ascii="Arial" w:cs="Arial" w:eastAsia="Arial" w:hAnsi="Arial"/>
          <w:sz w:val="11"/>
          <w:szCs w:val="11"/>
          <w:color w:val="auto"/>
        </w:rPr>
      </w:pPr>
      <w:r>
        <w:rPr>
          <w:rFonts w:ascii="Arial" w:cs="Arial" w:eastAsia="Arial" w:hAnsi="Arial"/>
          <w:sz w:val="14"/>
          <w:szCs w:val="14"/>
          <w:color w:val="auto"/>
        </w:rPr>
        <w:t>Our board of directors adopted, and our stockholders approved, the 2015 Plan. As a result of our initial public offering and the adoption of the 2017 Plan, we no longer grant awards under the 2015 Plan; however, all outstanding options issued pursuant to the 2015 Plan continue to be governed by their existing terms. To the extent that any such awards are forfeited or lapse unexercised or are repurchased, the shares of common stock subject to such awards will become available for issuance under the 2017 Plan.</w:t>
      </w:r>
    </w:p>
    <w:p>
      <w:pPr>
        <w:spacing w:after="0" w:line="155" w:lineRule="exact"/>
        <w:rPr>
          <w:rFonts w:ascii="Arial" w:cs="Arial" w:eastAsia="Arial" w:hAnsi="Arial"/>
          <w:sz w:val="11"/>
          <w:szCs w:val="11"/>
          <w:color w:val="auto"/>
        </w:rPr>
      </w:pPr>
    </w:p>
    <w:p>
      <w:pPr>
        <w:ind w:left="500" w:right="240" w:hanging="492"/>
        <w:spacing w:after="0" w:line="261" w:lineRule="auto"/>
        <w:tabs>
          <w:tab w:leader="none" w:pos="497" w:val="left"/>
        </w:tabs>
        <w:numPr>
          <w:ilvl w:val="0"/>
          <w:numId w:val="45"/>
        </w:numPr>
        <w:rPr>
          <w:rFonts w:ascii="Arial" w:cs="Arial" w:eastAsia="Arial" w:hAnsi="Arial"/>
          <w:sz w:val="11"/>
          <w:szCs w:val="11"/>
          <w:color w:val="auto"/>
        </w:rPr>
      </w:pPr>
      <w:r>
        <w:rPr>
          <w:rFonts w:ascii="Arial" w:cs="Arial" w:eastAsia="Arial" w:hAnsi="Arial"/>
          <w:sz w:val="14"/>
          <w:szCs w:val="14"/>
          <w:color w:val="auto"/>
        </w:rPr>
        <w:t>Our 2017 Plan provides for an automatic annual increase in the number of shares reserved and available for issuance under the 2017 Plan as follows: the number of shares of common stock available for issuance under the 2017 Plan will be increased on the first day of each fiscal year beginning with the 2019 fiscal year, in an amount equal to the least of (i) 10,000,000 shares, (ii) five percent (5%) of the outstanding shares on the last day of the immediately preceding fiscal year, or (iii) such number of shares determined by the administrator of the 2017 Plan.</w:t>
      </w:r>
    </w:p>
    <w:p>
      <w:pPr>
        <w:spacing w:after="0" w:line="1" w:lineRule="exact"/>
        <w:rPr>
          <w:rFonts w:ascii="Arial" w:cs="Arial" w:eastAsia="Arial" w:hAnsi="Arial"/>
          <w:sz w:val="11"/>
          <w:szCs w:val="11"/>
          <w:color w:val="auto"/>
        </w:rPr>
      </w:pPr>
    </w:p>
    <w:p>
      <w:pPr>
        <w:ind w:left="500" w:right="140" w:hanging="492"/>
        <w:spacing w:after="0" w:line="262" w:lineRule="auto"/>
        <w:tabs>
          <w:tab w:leader="none" w:pos="497" w:val="left"/>
        </w:tabs>
        <w:numPr>
          <w:ilvl w:val="0"/>
          <w:numId w:val="45"/>
        </w:numPr>
        <w:rPr>
          <w:rFonts w:ascii="Arial" w:cs="Arial" w:eastAsia="Arial" w:hAnsi="Arial"/>
          <w:sz w:val="11"/>
          <w:szCs w:val="11"/>
          <w:color w:val="auto"/>
        </w:rPr>
      </w:pPr>
      <w:r>
        <w:rPr>
          <w:rFonts w:ascii="Arial" w:cs="Arial" w:eastAsia="Arial" w:hAnsi="Arial"/>
          <w:sz w:val="14"/>
          <w:szCs w:val="14"/>
          <w:color w:val="auto"/>
        </w:rPr>
        <w:t>Our 2017 Employee Stock Purchase Plan ("2017 ESPP") provides for an automatic annual increase in the number of shares reserved and available for issuance under the 2017 ESPP as follows: the number of shares of common stock available for issuance under the 2017 ESPP will be increased on the first day of each fiscal year beginning with the 2019 fiscal year, in an amount equal to the least of (i) 2,000,000 shares, (ii) one percent (1%) of the outstanding shares on the last day of the immediately preceding fiscal year, or (iii) an amount determined by the administrator of the 2017 ESPP.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80" w:lineRule="exact"/>
        <w:rPr>
          <w:sz w:val="20"/>
          <w:szCs w:val="20"/>
          <w:color w:val="auto"/>
        </w:rPr>
      </w:pPr>
    </w:p>
    <w:p>
      <w:pPr>
        <w:ind w:left="1140" w:hanging="48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3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have based our calculation of the percentage of beneficial ownership on 145,227,767 shares of our common stock outstanding as of March 31, 2025. We have deemed shares of our common stock subject to RSU lapses or stock options that are currently exercisable or exercisable within 60 days of March 31,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firstLine="486"/>
        <w:spacing w:after="0" w:line="287" w:lineRule="auto"/>
        <w:rPr>
          <w:sz w:val="20"/>
          <w:szCs w:val="20"/>
          <w:color w:val="auto"/>
        </w:rPr>
      </w:pPr>
      <w:r>
        <w:rPr>
          <w:rFonts w:ascii="Arial" w:cs="Arial" w:eastAsia="Arial" w:hAnsi="Arial"/>
          <w:sz w:val="18"/>
          <w:szCs w:val="18"/>
          <w:color w:val="auto"/>
        </w:rPr>
        <w:t>Unless otherwise indicated, the address of each beneficial owner listed in the table below is c/o Denali Therapeutics Inc., 161 Oyster Point Blvd., South San Francisco, California 94080.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Beneficially</w:t>
            </w: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97"/>
        </w:trPr>
        <w:tc>
          <w:tcPr>
            <w:tcW w:w="76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97"/>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5% Stockholders: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BlackRock</w:t>
            </w:r>
            <w:r>
              <w:rPr>
                <w:rFonts w:ascii="Arial" w:cs="Arial" w:eastAsia="Arial" w:hAnsi="Arial"/>
                <w:sz w:val="18"/>
                <w:szCs w:val="18"/>
                <w:color w:val="auto"/>
                <w:vertAlign w:val="superscript"/>
              </w:rPr>
              <w:t>(1)</w:t>
            </w:r>
          </w:p>
        </w:tc>
        <w:tc>
          <w:tcPr>
            <w:tcW w:w="1640" w:type="dxa"/>
            <w:vAlign w:val="bottom"/>
          </w:tcPr>
          <w:p>
            <w:pPr>
              <w:jc w:val="right"/>
              <w:spacing w:after="0"/>
              <w:rPr>
                <w:sz w:val="20"/>
                <w:szCs w:val="20"/>
                <w:color w:val="auto"/>
              </w:rPr>
            </w:pPr>
            <w:r>
              <w:rPr>
                <w:rFonts w:ascii="Arial" w:cs="Arial" w:eastAsia="Arial" w:hAnsi="Arial"/>
                <w:sz w:val="14"/>
                <w:szCs w:val="14"/>
                <w:color w:val="auto"/>
              </w:rPr>
              <w:t>13,787,873</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Baillie Gifford &amp; Co</w:t>
            </w:r>
            <w:r>
              <w:rPr>
                <w:rFonts w:ascii="Arial" w:cs="Arial" w:eastAsia="Arial" w:hAnsi="Arial"/>
                <w:sz w:val="18"/>
                <w:szCs w:val="18"/>
                <w:color w:val="auto"/>
                <w:vertAlign w:val="superscript"/>
              </w:rPr>
              <w:t>(2)</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12,313,931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Vanguard Group</w:t>
            </w:r>
            <w:r>
              <w:rPr>
                <w:rFonts w:ascii="Arial" w:cs="Arial" w:eastAsia="Arial" w:hAnsi="Arial"/>
                <w:sz w:val="18"/>
                <w:szCs w:val="18"/>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4"/>
                <w:szCs w:val="14"/>
                <w:color w:val="auto"/>
              </w:rPr>
              <w:t>10,834,483</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Wellington</w:t>
            </w:r>
            <w:r>
              <w:rPr>
                <w:rFonts w:ascii="Arial" w:cs="Arial" w:eastAsia="Arial" w:hAnsi="Arial"/>
                <w:sz w:val="18"/>
                <w:szCs w:val="18"/>
                <w:color w:val="auto"/>
                <w:vertAlign w:val="superscript"/>
              </w:rPr>
              <w:t>(4)</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10,727,450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(5)</w:t>
            </w:r>
          </w:p>
        </w:tc>
        <w:tc>
          <w:tcPr>
            <w:tcW w:w="1640" w:type="dxa"/>
            <w:vAlign w:val="bottom"/>
          </w:tcPr>
          <w:p>
            <w:pPr>
              <w:jc w:val="right"/>
              <w:spacing w:after="0"/>
              <w:rPr>
                <w:sz w:val="20"/>
                <w:szCs w:val="20"/>
                <w:color w:val="auto"/>
              </w:rPr>
            </w:pPr>
            <w:r>
              <w:rPr>
                <w:rFonts w:ascii="Arial" w:cs="Arial" w:eastAsia="Arial" w:hAnsi="Arial"/>
                <w:sz w:val="14"/>
                <w:szCs w:val="14"/>
                <w:color w:val="auto"/>
              </w:rPr>
              <w:t>10,141,901</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Named Executive Officers, Directors, and Director Nominees: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Ryan J. Watts, Ph.D.</w:t>
            </w:r>
            <w:r>
              <w:rPr>
                <w:rFonts w:ascii="Arial" w:cs="Arial" w:eastAsia="Arial" w:hAnsi="Arial"/>
                <w:sz w:val="18"/>
                <w:szCs w:val="18"/>
                <w:color w:val="auto"/>
                <w:vertAlign w:val="superscript"/>
              </w:rPr>
              <w:t>(6)</w:t>
            </w:r>
          </w:p>
        </w:tc>
        <w:tc>
          <w:tcPr>
            <w:tcW w:w="1640" w:type="dxa"/>
            <w:vAlign w:val="bottom"/>
          </w:tcPr>
          <w:p>
            <w:pPr>
              <w:jc w:val="right"/>
              <w:spacing w:after="0"/>
              <w:rPr>
                <w:sz w:val="20"/>
                <w:szCs w:val="20"/>
                <w:color w:val="auto"/>
              </w:rPr>
            </w:pPr>
            <w:r>
              <w:rPr>
                <w:rFonts w:ascii="Arial" w:cs="Arial" w:eastAsia="Arial" w:hAnsi="Arial"/>
                <w:sz w:val="14"/>
                <w:szCs w:val="14"/>
                <w:color w:val="auto"/>
              </w:rPr>
              <w:t>4,545,835</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Alexander O. Schuth, M.D.</w:t>
            </w:r>
            <w:r>
              <w:rPr>
                <w:rFonts w:ascii="Arial" w:cs="Arial" w:eastAsia="Arial" w:hAnsi="Arial"/>
                <w:sz w:val="18"/>
                <w:szCs w:val="18"/>
                <w:color w:val="auto"/>
                <w:vertAlign w:val="superscript"/>
              </w:rPr>
              <w:t>(7)</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1,616,547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Carole Ho, M.D.</w:t>
            </w:r>
            <w:r>
              <w:rPr>
                <w:rFonts w:ascii="Arial" w:cs="Arial" w:eastAsia="Arial" w:hAnsi="Arial"/>
                <w:sz w:val="18"/>
                <w:szCs w:val="18"/>
                <w:color w:val="auto"/>
                <w:vertAlign w:val="superscript"/>
              </w:rPr>
              <w:t>(8)</w:t>
            </w:r>
          </w:p>
        </w:tc>
        <w:tc>
          <w:tcPr>
            <w:tcW w:w="1640" w:type="dxa"/>
            <w:vAlign w:val="bottom"/>
          </w:tcPr>
          <w:p>
            <w:pPr>
              <w:jc w:val="right"/>
              <w:spacing w:after="0"/>
              <w:rPr>
                <w:sz w:val="20"/>
                <w:szCs w:val="20"/>
                <w:color w:val="auto"/>
              </w:rPr>
            </w:pPr>
            <w:r>
              <w:rPr>
                <w:rFonts w:ascii="Arial" w:cs="Arial" w:eastAsia="Arial" w:hAnsi="Arial"/>
                <w:sz w:val="14"/>
                <w:szCs w:val="14"/>
                <w:color w:val="auto"/>
              </w:rPr>
              <w:t>1,262,000</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Vicki Sato, Ph.D.</w:t>
            </w:r>
            <w:r>
              <w:rPr>
                <w:rFonts w:ascii="Arial" w:cs="Arial" w:eastAsia="Arial" w:hAnsi="Arial"/>
                <w:sz w:val="18"/>
                <w:szCs w:val="18"/>
                <w:color w:val="auto"/>
                <w:vertAlign w:val="superscript"/>
              </w:rPr>
              <w:t>(9)</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299,729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Jennifer Cook</w:t>
            </w:r>
            <w:r>
              <w:rPr>
                <w:rFonts w:ascii="Arial" w:cs="Arial" w:eastAsia="Arial" w:hAnsi="Arial"/>
                <w:sz w:val="18"/>
                <w:szCs w:val="18"/>
                <w:color w:val="auto"/>
                <w:vertAlign w:val="superscript"/>
              </w:rPr>
              <w:t>(10)</w:t>
            </w:r>
          </w:p>
        </w:tc>
        <w:tc>
          <w:tcPr>
            <w:tcW w:w="1640" w:type="dxa"/>
            <w:vAlign w:val="bottom"/>
          </w:tcPr>
          <w:p>
            <w:pPr>
              <w:jc w:val="right"/>
              <w:spacing w:after="0"/>
              <w:rPr>
                <w:sz w:val="20"/>
                <w:szCs w:val="20"/>
                <w:color w:val="auto"/>
              </w:rPr>
            </w:pPr>
            <w:r>
              <w:rPr>
                <w:rFonts w:ascii="Arial" w:cs="Arial" w:eastAsia="Arial" w:hAnsi="Arial"/>
                <w:sz w:val="14"/>
                <w:szCs w:val="14"/>
                <w:color w:val="auto"/>
              </w:rPr>
              <w:t>149,340</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Jay Flatley</w:t>
            </w:r>
            <w:r>
              <w:rPr>
                <w:rFonts w:ascii="Arial" w:cs="Arial" w:eastAsia="Arial" w:hAnsi="Arial"/>
                <w:sz w:val="18"/>
                <w:szCs w:val="18"/>
                <w:color w:val="auto"/>
                <w:vertAlign w:val="superscript"/>
              </w:rPr>
              <w:t>(11)</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500,749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Erik Harris</w:t>
            </w:r>
            <w:r>
              <w:rPr>
                <w:rFonts w:ascii="Arial" w:cs="Arial" w:eastAsia="Arial" w:hAnsi="Arial"/>
                <w:sz w:val="18"/>
                <w:szCs w:val="18"/>
                <w:color w:val="auto"/>
                <w:vertAlign w:val="superscript"/>
              </w:rPr>
              <w:t>(12)</w:t>
            </w:r>
          </w:p>
        </w:tc>
        <w:tc>
          <w:tcPr>
            <w:tcW w:w="1640" w:type="dxa"/>
            <w:vAlign w:val="bottom"/>
          </w:tcPr>
          <w:p>
            <w:pPr>
              <w:jc w:val="right"/>
              <w:spacing w:after="0"/>
              <w:rPr>
                <w:sz w:val="20"/>
                <w:szCs w:val="20"/>
                <w:color w:val="auto"/>
              </w:rPr>
            </w:pPr>
            <w:r>
              <w:rPr>
                <w:rFonts w:ascii="Arial" w:cs="Arial" w:eastAsia="Arial" w:hAnsi="Arial"/>
                <w:sz w:val="14"/>
                <w:szCs w:val="14"/>
                <w:color w:val="auto"/>
              </w:rPr>
              <w:t>46,444</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Peter Klein</w:t>
            </w:r>
            <w:r>
              <w:rPr>
                <w:rFonts w:ascii="Arial" w:cs="Arial" w:eastAsia="Arial" w:hAnsi="Arial"/>
                <w:sz w:val="18"/>
                <w:szCs w:val="18"/>
                <w:color w:val="auto"/>
                <w:vertAlign w:val="superscript"/>
              </w:rPr>
              <w:t>(13)</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138,708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Steve E. Krognes</w:t>
            </w:r>
            <w:r>
              <w:rPr>
                <w:rFonts w:ascii="Arial" w:cs="Arial" w:eastAsia="Arial" w:hAnsi="Arial"/>
                <w:sz w:val="18"/>
                <w:szCs w:val="18"/>
                <w:color w:val="auto"/>
                <w:vertAlign w:val="superscript"/>
              </w:rPr>
              <w:t>(14)</w:t>
            </w:r>
          </w:p>
        </w:tc>
        <w:tc>
          <w:tcPr>
            <w:tcW w:w="1640" w:type="dxa"/>
            <w:vAlign w:val="bottom"/>
          </w:tcPr>
          <w:p>
            <w:pPr>
              <w:jc w:val="right"/>
              <w:spacing w:after="0"/>
              <w:rPr>
                <w:sz w:val="20"/>
                <w:szCs w:val="20"/>
                <w:color w:val="auto"/>
              </w:rPr>
            </w:pPr>
            <w:r>
              <w:rPr>
                <w:rFonts w:ascii="Arial" w:cs="Arial" w:eastAsia="Arial" w:hAnsi="Arial"/>
                <w:sz w:val="14"/>
                <w:szCs w:val="14"/>
                <w:color w:val="auto"/>
              </w:rPr>
              <w:t>820,203</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David Schenkein, M.D.</w:t>
            </w:r>
            <w:r>
              <w:rPr>
                <w:rFonts w:ascii="Arial" w:cs="Arial" w:eastAsia="Arial" w:hAnsi="Arial"/>
                <w:sz w:val="18"/>
                <w:szCs w:val="18"/>
                <w:color w:val="auto"/>
                <w:vertAlign w:val="superscript"/>
              </w:rPr>
              <w:t>(15)</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173,772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80" w:type="dxa"/>
            <w:vAlign w:val="bottom"/>
            <w:gridSpan w:val="3"/>
          </w:tcPr>
          <w:p>
            <w:pPr>
              <w:ind w:left="20"/>
              <w:spacing w:after="0" w:line="202" w:lineRule="exact"/>
              <w:rPr>
                <w:sz w:val="20"/>
                <w:szCs w:val="20"/>
                <w:color w:val="auto"/>
              </w:rPr>
            </w:pPr>
            <w:r>
              <w:rPr>
                <w:rFonts w:ascii="Arial" w:cs="Arial" w:eastAsia="Arial" w:hAnsi="Arial"/>
                <w:sz w:val="14"/>
                <w:szCs w:val="14"/>
                <w:color w:val="auto"/>
              </w:rPr>
              <w:t>Marc Tessier-Lavigne, Ph.D.</w:t>
            </w:r>
            <w:r>
              <w:rPr>
                <w:rFonts w:ascii="Arial" w:cs="Arial" w:eastAsia="Arial" w:hAnsi="Arial"/>
                <w:sz w:val="18"/>
                <w:szCs w:val="18"/>
                <w:color w:val="auto"/>
                <w:vertAlign w:val="superscript"/>
              </w:rPr>
              <w:t>(16)</w:t>
            </w:r>
          </w:p>
        </w:tc>
        <w:tc>
          <w:tcPr>
            <w:tcW w:w="1640" w:type="dxa"/>
            <w:vAlign w:val="bottom"/>
          </w:tcPr>
          <w:p>
            <w:pPr>
              <w:jc w:val="right"/>
              <w:spacing w:after="0"/>
              <w:rPr>
                <w:sz w:val="20"/>
                <w:szCs w:val="20"/>
                <w:color w:val="auto"/>
              </w:rPr>
            </w:pPr>
            <w:r>
              <w:rPr>
                <w:rFonts w:ascii="Arial" w:cs="Arial" w:eastAsia="Arial" w:hAnsi="Arial"/>
                <w:sz w:val="14"/>
                <w:szCs w:val="14"/>
                <w:color w:val="auto"/>
              </w:rPr>
              <w:t>2,177,283</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03"/>
        </w:trPr>
        <w:tc>
          <w:tcPr>
            <w:tcW w:w="77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4"/>
                <w:szCs w:val="14"/>
                <w:color w:val="auto"/>
              </w:rPr>
              <w:t>Nancy A. Thornberry</w:t>
            </w:r>
            <w:r>
              <w:rPr>
                <w:rFonts w:ascii="Arial" w:cs="Arial" w:eastAsia="Arial" w:hAnsi="Arial"/>
                <w:sz w:val="18"/>
                <w:szCs w:val="18"/>
                <w:color w:val="auto"/>
                <w:vertAlign w:val="superscript"/>
              </w:rPr>
              <w:t>(17)</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gridSpan w:val="3"/>
          </w:tcPr>
          <w:p>
            <w:pPr>
              <w:ind w:left="20"/>
              <w:spacing w:after="0" w:line="202" w:lineRule="exact"/>
              <w:rPr>
                <w:sz w:val="20"/>
                <w:szCs w:val="20"/>
                <w:color w:val="auto"/>
              </w:rPr>
            </w:pPr>
            <w:r>
              <w:rPr>
                <w:rFonts w:ascii="Arial" w:cs="Arial" w:eastAsia="Arial" w:hAnsi="Arial"/>
                <w:sz w:val="14"/>
                <w:szCs w:val="14"/>
                <w:color w:val="auto"/>
              </w:rPr>
              <w:t>Julian C. Baker</w:t>
            </w:r>
            <w:r>
              <w:rPr>
                <w:rFonts w:ascii="Arial" w:cs="Arial" w:eastAsia="Arial" w:hAnsi="Arial"/>
                <w:sz w:val="18"/>
                <w:szCs w:val="18"/>
                <w:color w:val="auto"/>
                <w:vertAlign w:val="superscript"/>
              </w:rPr>
              <w:t>(18)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7,431,485</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96"/>
        </w:trPr>
        <w:tc>
          <w:tcPr>
            <w:tcW w:w="77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4"/>
                <w:szCs w:val="14"/>
                <w:color w:val="auto"/>
              </w:rPr>
              <w:t>All current executive officers, directors and director nominees as a group (13 persons)</w:t>
            </w:r>
            <w:r>
              <w:rPr>
                <w:rFonts w:ascii="Arial" w:cs="Arial" w:eastAsia="Arial" w:hAnsi="Arial"/>
                <w:sz w:val="18"/>
                <w:szCs w:val="18"/>
                <w:color w:val="auto"/>
                <w:vertAlign w:val="superscript"/>
              </w:rPr>
              <w:t>(19)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19,218,918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56"/>
        </w:trPr>
        <w:tc>
          <w:tcPr>
            <w:tcW w:w="4820" w:type="dxa"/>
            <w:vAlign w:val="bottom"/>
            <w:tcBorders>
              <w:bottom w:val="single" w:sz="8" w:color="auto"/>
            </w:tcBorders>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82" w:lineRule="exact"/>
        <w:rPr>
          <w:sz w:val="20"/>
          <w:szCs w:val="20"/>
          <w:color w:val="auto"/>
        </w:rPr>
      </w:pPr>
    </w:p>
    <w:p>
      <w:pPr>
        <w:ind w:left="500" w:right="60" w:hanging="492"/>
        <w:spacing w:after="0" w:line="261" w:lineRule="auto"/>
        <w:tabs>
          <w:tab w:leader="none" w:pos="497" w:val="left"/>
        </w:tabs>
        <w:numPr>
          <w:ilvl w:val="0"/>
          <w:numId w:val="48"/>
        </w:numPr>
        <w:rPr>
          <w:rFonts w:ascii="Arial" w:cs="Arial" w:eastAsia="Arial" w:hAnsi="Arial"/>
          <w:sz w:val="11"/>
          <w:szCs w:val="11"/>
          <w:color w:val="auto"/>
        </w:rPr>
      </w:pPr>
      <w:r>
        <w:rPr>
          <w:rFonts w:ascii="Arial" w:cs="Arial" w:eastAsia="Arial" w:hAnsi="Arial"/>
          <w:sz w:val="14"/>
          <w:szCs w:val="14"/>
          <w:color w:val="auto"/>
        </w:rPr>
        <w:t>Based on information set forth in a Schedule 13G/A filed with the SEC by BlackRock, Inc. ("BlackRock") on November 8, 2024, these shares consist of 13,787,873 shares held of record by BlackRock. BlackRock has sole voting power with respect to 13,170,219 of the shares and sole dispositive power with respect to all the shares. The address of BlackRock is 50 Hudson Yards, New York, NY 10001.</w:t>
      </w:r>
    </w:p>
    <w:p>
      <w:pPr>
        <w:spacing w:after="0" w:line="1" w:lineRule="exact"/>
        <w:rPr>
          <w:rFonts w:ascii="Arial" w:cs="Arial" w:eastAsia="Arial" w:hAnsi="Arial"/>
          <w:sz w:val="11"/>
          <w:szCs w:val="11"/>
          <w:color w:val="auto"/>
        </w:rPr>
      </w:pPr>
    </w:p>
    <w:p>
      <w:pPr>
        <w:ind w:left="500" w:right="40" w:hanging="492"/>
        <w:spacing w:after="0" w:line="261" w:lineRule="auto"/>
        <w:tabs>
          <w:tab w:leader="none" w:pos="497" w:val="left"/>
        </w:tabs>
        <w:numPr>
          <w:ilvl w:val="0"/>
          <w:numId w:val="48"/>
        </w:numPr>
        <w:rPr>
          <w:rFonts w:ascii="Arial" w:cs="Arial" w:eastAsia="Arial" w:hAnsi="Arial"/>
          <w:sz w:val="11"/>
          <w:szCs w:val="11"/>
          <w:color w:val="auto"/>
        </w:rPr>
      </w:pPr>
      <w:r>
        <w:rPr>
          <w:rFonts w:ascii="Arial" w:cs="Arial" w:eastAsia="Arial" w:hAnsi="Arial"/>
          <w:sz w:val="14"/>
          <w:szCs w:val="14"/>
          <w:color w:val="auto"/>
        </w:rPr>
        <w:t>Based on information set forth in a Schedule 13G/A filed with the SEC by Baillie Gifford &amp; Co (“Baillie Gifford”) on February 12, 2025, these shares consist of 12,313,931 shares held of record by Baillie Gifford. Baillie Gifford has sole voting power with respect to 12,239,731 of the shares and sole dispositive power with respect to all the shares. The address of Baillie Gifford is Calton Square, 1 Greenside Row, Edinburgh EH1 3AN, Scotland, United Kingdom.</w:t>
      </w:r>
    </w:p>
    <w:p>
      <w:pPr>
        <w:spacing w:after="0" w:line="1" w:lineRule="exact"/>
        <w:rPr>
          <w:rFonts w:ascii="Arial" w:cs="Arial" w:eastAsia="Arial" w:hAnsi="Arial"/>
          <w:sz w:val="11"/>
          <w:szCs w:val="11"/>
          <w:color w:val="auto"/>
        </w:rPr>
      </w:pPr>
    </w:p>
    <w:p>
      <w:pPr>
        <w:ind w:left="500" w:right="60" w:hanging="492"/>
        <w:spacing w:after="0" w:line="254" w:lineRule="auto"/>
        <w:tabs>
          <w:tab w:leader="none" w:pos="497" w:val="left"/>
        </w:tabs>
        <w:numPr>
          <w:ilvl w:val="0"/>
          <w:numId w:val="48"/>
        </w:numPr>
        <w:rPr>
          <w:rFonts w:ascii="Arial" w:cs="Arial" w:eastAsia="Arial" w:hAnsi="Arial"/>
          <w:sz w:val="11"/>
          <w:szCs w:val="11"/>
          <w:color w:val="auto"/>
        </w:rPr>
      </w:pPr>
      <w:r>
        <w:rPr>
          <w:rFonts w:ascii="Arial" w:cs="Arial" w:eastAsia="Arial" w:hAnsi="Arial"/>
          <w:sz w:val="14"/>
          <w:szCs w:val="14"/>
          <w:color w:val="auto"/>
        </w:rPr>
        <w:t>Based on information set forth in a Schedule 13G/A filed with the SEC by The Vanguard Group (“Vanguard”) on February 13, 2024, these shares consist of 10,834,483 shares held of record by Vanguard. Vanguard reported that it has shared voting power with respect to 216,826 shares, sole dispositive power with respect to 10,495,236 shares and shared dispositive power with respect to 339,247 shares. The address of this entity is 100 Vanguard Blvd. Malvern, PA 19355.</w:t>
      </w:r>
    </w:p>
    <w:p>
      <w:pPr>
        <w:spacing w:after="0" w:line="1" w:lineRule="exact"/>
        <w:rPr>
          <w:rFonts w:ascii="Arial" w:cs="Arial" w:eastAsia="Arial" w:hAnsi="Arial"/>
          <w:sz w:val="11"/>
          <w:szCs w:val="11"/>
          <w:color w:val="auto"/>
        </w:rPr>
      </w:pPr>
    </w:p>
    <w:p>
      <w:pPr>
        <w:ind w:left="500" w:right="20" w:hanging="492"/>
        <w:spacing w:after="0" w:line="258" w:lineRule="auto"/>
        <w:tabs>
          <w:tab w:leader="none" w:pos="497" w:val="left"/>
        </w:tabs>
        <w:numPr>
          <w:ilvl w:val="0"/>
          <w:numId w:val="48"/>
        </w:numPr>
        <w:rPr>
          <w:rFonts w:ascii="Arial" w:cs="Arial" w:eastAsia="Arial" w:hAnsi="Arial"/>
          <w:sz w:val="11"/>
          <w:szCs w:val="11"/>
          <w:color w:val="auto"/>
        </w:rPr>
      </w:pPr>
      <w:r>
        <w:rPr>
          <w:rFonts w:ascii="Arial" w:cs="Arial" w:eastAsia="Arial" w:hAnsi="Arial"/>
          <w:sz w:val="14"/>
          <w:szCs w:val="14"/>
          <w:color w:val="auto"/>
        </w:rPr>
        <w:t>Based on information set forth in a Schedule 13G/A filed with the SEC by Wellington Management Group LLP ("Wellington"), on November 8, 2024, these shares consist of 10,727,450 shares held of record by Wellington. Wellington has shared voting power over 10,461,268 shares and shared dispositive power with respect to all the shares. Further, these shares include 104,260 aggregate shares held by Fiducian Technology Fund, Salthill Investors (Bermuda) L.P., Salthill Partners, LP, Wellington Trust Company, National Association Multiple Collective Investment Funds Trust, Biotechnology Portfolio (together, the “Wellington Selling Shareholders”) acquired in a private placement which closed on February 29, 2024 and as set forth in the Form S-3ASR filed on March 22, 2024, which Wellington Management Company LLP, a subsidiary of Wellington, has dispositive power over pursuant to its capacity as investment advisor on behalf of the Wellington Selling Stockholders. The address of Wellington, including Wellington Selling Stockholders, is 280 Congress Street, Boston, MA 02210.</w:t>
      </w:r>
    </w:p>
    <w:p>
      <w:pPr>
        <w:spacing w:after="0" w:line="3" w:lineRule="exact"/>
        <w:rPr>
          <w:rFonts w:ascii="Arial" w:cs="Arial" w:eastAsia="Arial" w:hAnsi="Arial"/>
          <w:sz w:val="11"/>
          <w:szCs w:val="11"/>
          <w:color w:val="auto"/>
        </w:rPr>
      </w:pPr>
    </w:p>
    <w:p>
      <w:pPr>
        <w:ind w:left="500" w:right="140" w:hanging="492"/>
        <w:spacing w:after="0" w:line="254" w:lineRule="auto"/>
        <w:tabs>
          <w:tab w:leader="none" w:pos="497" w:val="left"/>
        </w:tabs>
        <w:numPr>
          <w:ilvl w:val="0"/>
          <w:numId w:val="48"/>
        </w:numPr>
        <w:rPr>
          <w:rFonts w:ascii="Arial" w:cs="Arial" w:eastAsia="Arial" w:hAnsi="Arial"/>
          <w:sz w:val="11"/>
          <w:szCs w:val="11"/>
          <w:color w:val="auto"/>
        </w:rPr>
      </w:pPr>
      <w:r>
        <w:rPr>
          <w:rFonts w:ascii="Arial" w:cs="Arial" w:eastAsia="Arial" w:hAnsi="Arial"/>
          <w:sz w:val="14"/>
          <w:szCs w:val="14"/>
          <w:color w:val="auto"/>
        </w:rPr>
        <w:t>Based on information set forth in a Schedule 13G/A filed with the SEC by FMR, Inc. ("FMR") on November 12, 2024, these shares consist of 10,141,901 shares held of record by FMR. FMR has sole voting power with respect to 10,136,291 of the shares and sole dispositive power with respect to all the shares. The address of FMR is 245 Summer Street, Boston, Massachusetts, 02210.</w:t>
      </w:r>
    </w:p>
    <w:p>
      <w:pPr>
        <w:spacing w:after="0" w:line="1" w:lineRule="exact"/>
        <w:rPr>
          <w:rFonts w:ascii="Arial" w:cs="Arial" w:eastAsia="Arial" w:hAnsi="Arial"/>
          <w:sz w:val="11"/>
          <w:szCs w:val="11"/>
          <w:color w:val="auto"/>
        </w:rPr>
      </w:pPr>
    </w:p>
    <w:p>
      <w:pPr>
        <w:ind w:left="500" w:right="380" w:hanging="492"/>
        <w:spacing w:after="0" w:line="284" w:lineRule="auto"/>
        <w:tabs>
          <w:tab w:leader="none" w:pos="497" w:val="left"/>
        </w:tabs>
        <w:numPr>
          <w:ilvl w:val="0"/>
          <w:numId w:val="48"/>
        </w:numPr>
        <w:rPr>
          <w:rFonts w:ascii="Arial" w:cs="Arial" w:eastAsia="Arial" w:hAnsi="Arial"/>
          <w:sz w:val="11"/>
          <w:szCs w:val="11"/>
          <w:color w:val="auto"/>
        </w:rPr>
      </w:pPr>
      <w:r>
        <w:rPr>
          <w:rFonts w:ascii="Arial" w:cs="Arial" w:eastAsia="Arial" w:hAnsi="Arial"/>
          <w:sz w:val="14"/>
          <w:szCs w:val="14"/>
          <w:color w:val="auto"/>
        </w:rPr>
        <w:t>Consists of (a) 2,202,604 shares held of record by the Watts Family 2015 Trust dated July 7, 2015, for which Dr. Watts serves as trustee (b) 253,071 shares held of record by Dr. Watts and (c) 2,090,160 shares subject to options exercisable within 60 days of March 31, 2025, all of which will vest within such date.</w:t>
      </w: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500" w:right="80" w:hanging="492"/>
        <w:spacing w:after="0" w:line="272" w:lineRule="auto"/>
        <w:tabs>
          <w:tab w:leader="none" w:pos="497"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523,749 shares held of record by the Schuth Family Trust for which Dr. Schuth serves as trustee (b) 244,308 shares held of record by Dr. Schuth and (c) 848,490 shares subject to options exercisable within 60 days of March 31, 2025, all of which will vest within such date.</w:t>
      </w:r>
    </w:p>
    <w:p>
      <w:pPr>
        <w:jc w:val="both"/>
        <w:ind w:left="500" w:right="160" w:hanging="492"/>
        <w:spacing w:after="0" w:line="254" w:lineRule="auto"/>
        <w:tabs>
          <w:tab w:leader="none" w:pos="497"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183,219 shares held of record by the Rohatgi-Ho Family 2009 Revocable Trust, for which Dr. Ho serves as trustee, (b) 25,000 shares held of record by The Rohatgi-Ho Irrevocable GST Trust for the benefit of the Reporting Person's children (c) 175,673 shares held of record by Dr. Ho and (d) 878,108 shares subject to options exercisable within 60 days of March 31, 2025, all of which will vest within such date.</w:t>
      </w:r>
    </w:p>
    <w:p>
      <w:pPr>
        <w:spacing w:after="0" w:line="1" w:lineRule="exact"/>
        <w:rPr>
          <w:rFonts w:ascii="Arial" w:cs="Arial" w:eastAsia="Arial" w:hAnsi="Arial"/>
          <w:sz w:val="11"/>
          <w:szCs w:val="11"/>
          <w:color w:val="auto"/>
        </w:rPr>
      </w:pPr>
    </w:p>
    <w:p>
      <w:pPr>
        <w:ind w:left="500" w:right="80" w:hanging="492"/>
        <w:spacing w:after="0" w:line="261" w:lineRule="auto"/>
        <w:tabs>
          <w:tab w:leader="none" w:pos="497"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107,976 shares held of record by Dr. Sato and (b) 191,753 shares subject to options exercisable and RSUs lapsing within 60 days of March 31, 2025, all of which will vest within such date.</w:t>
      </w:r>
    </w:p>
    <w:p>
      <w:pPr>
        <w:ind w:left="500" w:right="80" w:hanging="492"/>
        <w:spacing w:after="0" w:line="251"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20,038 shares held of record by Ms. Cook and (b) 129,302 shares subject to options exercisable and RSUs lapsing within 60 days of March 31, 2025, all of which will vest within such date.</w:t>
      </w:r>
    </w:p>
    <w:p>
      <w:pPr>
        <w:ind w:left="500" w:right="200" w:hanging="492"/>
        <w:spacing w:after="0" w:line="261" w:lineRule="auto"/>
        <w:tabs>
          <w:tab w:leader="none" w:pos="481"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346,496 shares held of record by the Flatley Family Trust, for which Mr. Flatley serves as trustee and (b) 154,253 shares subject to options exercisable and RSUs lapsing within 60 days of March 31, 2025, all of which will vest within such date.</w:t>
      </w:r>
    </w:p>
    <w:p>
      <w:pPr>
        <w:ind w:left="500" w:right="140" w:hanging="492"/>
        <w:spacing w:after="0" w:line="251"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17,052 shares held of record by Mr. Harris and (b) 29,392 shares subject to options exercisable and RSUs lapsing within 60 days of March 31, 2025, all of which will vest within such date.</w:t>
      </w:r>
    </w:p>
    <w:p>
      <w:pPr>
        <w:ind w:left="500" w:right="140" w:hanging="492"/>
        <w:spacing w:after="0" w:line="261"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21,496 shares held of record by Mr. Klein and (b) 117,212 shares subject to options exercisable and RSUs lapsing within 60 days of March 31, 2025, all of which will vest within such date.</w:t>
      </w:r>
    </w:p>
    <w:p>
      <w:pPr>
        <w:ind w:left="500" w:right="160" w:hanging="492"/>
        <w:spacing w:after="0" w:line="261"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781,797 shares held of record by The Steve Edward Krognes Revocable Trust, for which Mr. Krognes serves as a trustee (b) 25,757 shares held of record by Mr. Krognes and (c) 12,649 shares subject to options exercisable and RSUs lapsing within 60 days of March 31, 2025, all of which will vest within such date.</w:t>
      </w:r>
    </w:p>
    <w:p>
      <w:pPr>
        <w:ind w:left="500" w:right="40" w:hanging="492"/>
        <w:spacing w:after="0" w:line="254"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26,232 shares held of record by the David Schenkein, M.D. 2004 Revocable Trust, for which Dr. Schenkein serves as a trustee, (b) 31,232 shares held of record by the Amy P. Schenkein 2004 Revocable Trust, for which Dr. Schenkein's spouse serves as a trustee, (c) 9,220 shares held of record by Mr. Schenkein and (d) 107,088 shares subject to options exercisable and RSUs lapsing within 60 days of March 31, 2025, all of which will vest within such date.</w:t>
      </w:r>
    </w:p>
    <w:p>
      <w:pPr>
        <w:spacing w:after="0" w:line="1" w:lineRule="exact"/>
        <w:rPr>
          <w:rFonts w:ascii="Arial" w:cs="Arial" w:eastAsia="Arial" w:hAnsi="Arial"/>
          <w:sz w:val="11"/>
          <w:szCs w:val="11"/>
          <w:color w:val="auto"/>
        </w:rPr>
      </w:pPr>
    </w:p>
    <w:p>
      <w:pPr>
        <w:ind w:left="500" w:right="260" w:hanging="492"/>
        <w:spacing w:after="0" w:line="254"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1,880,539 shares held of record by Dr. Tessier-Lavigne, (b) 78,848 shares held of record by The Tessier-Lavigne/Hynes Irrevocable Trust 1 (c) 79,173 shares held of record by The Tessier-Lavigne/Hynes Irrevocable Trust 2, (d) 78,848 shares held of record by The Tessier-Lavigne/Hynes Irrevocable Trust 3 and (e) 59,875 shares subject to options exercisable and RSUs lapsing within 60 days of March 31, 2025, all of which will vest with such date.</w:t>
      </w:r>
    </w:p>
    <w:p>
      <w:pPr>
        <w:spacing w:after="0" w:line="1" w:lineRule="exact"/>
        <w:rPr>
          <w:rFonts w:ascii="Arial" w:cs="Arial" w:eastAsia="Arial" w:hAnsi="Arial"/>
          <w:sz w:val="11"/>
          <w:szCs w:val="11"/>
          <w:color w:val="auto"/>
        </w:rPr>
      </w:pPr>
    </w:p>
    <w:p>
      <w:pPr>
        <w:ind w:left="500" w:right="380" w:hanging="492"/>
        <w:spacing w:after="0" w:line="261"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18,680 shares held of record by Ms. Thornberry and (b) 38,143 shares subject to options exercisable and RSUs lapsing within 60 days of March 31, 2025, all of which will vest with such date.</w:t>
      </w:r>
    </w:p>
    <w:p>
      <w:pPr>
        <w:ind w:left="500" w:hanging="492"/>
        <w:spacing w:after="0" w:line="257"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(a) 326,302 shares held of record by 667, L.P., and (b) 3,405,393 shares held of record by Baker Brothers Life Sciences, L.P. (collectively, the “Baker Funds”), and (c) prefunded warrants to purchase an aggregate of 3,699,790 shares of our common stock held by the Baker Funds, which may be exercised within 60 days of March 31, 2025. This amount excludes prefunded warrants to purchase an aggregate of 22,346,275 shares of our common stock held by the Baker Funds, the exercise of which is currently limited pursuant to an ownership limitation, and therefore the shares of our capital stock issuable upon exercise of such prefunded warrants are not deemed to be beneficially owned within 60 days of March 31, 2025. Julian C. Baker is the managing member of Baker Bros. Advisors (GP), LLC, the sole general partner of Baker Bros. Advisors LP, the investment advisor to the Baker Funds with sole voting and investment power with respect to the securities held by the Baker Funds, and therefore Mr. Baker may be deemed to beneficially own shares of our common stock beneficially owned by Baker Bros. Advisors LP and its affiliated funds. Pursuant to the policies of Baker Bros. Advisors LP, Mr. Baker does not have a right to any of Company’s securities issued as compensation for his service on the Board and the funds affiliated with Baker Bros. Advisors LP are entitled to an indirect proportionate pecuniary interest in the securities. Julian C. Baker, Felix J. Baker, Baker Bros. Advisors LP and Baker Bros. Advisors (GP) LLC disclaim beneficial ownership except to the extent of their pecuniary interest therein.</w:t>
      </w:r>
    </w:p>
    <w:p>
      <w:pPr>
        <w:spacing w:after="0" w:line="4" w:lineRule="exact"/>
        <w:rPr>
          <w:rFonts w:ascii="Arial" w:cs="Arial" w:eastAsia="Arial" w:hAnsi="Arial"/>
          <w:sz w:val="11"/>
          <w:szCs w:val="11"/>
          <w:color w:val="auto"/>
        </w:rPr>
      </w:pPr>
    </w:p>
    <w:p>
      <w:pPr>
        <w:ind w:left="500" w:right="400" w:hanging="492"/>
        <w:spacing w:after="0" w:line="274" w:lineRule="auto"/>
        <w:tabs>
          <w:tab w:leader="none" w:pos="489" w:val="left"/>
        </w:tabs>
        <w:numPr>
          <w:ilvl w:val="0"/>
          <w:numId w:val="49"/>
        </w:numPr>
        <w:rPr>
          <w:rFonts w:ascii="Arial" w:cs="Arial" w:eastAsia="Arial" w:hAnsi="Arial"/>
          <w:sz w:val="11"/>
          <w:szCs w:val="11"/>
          <w:color w:val="auto"/>
        </w:rPr>
      </w:pPr>
      <w:r>
        <w:rPr>
          <w:rFonts w:ascii="Arial" w:cs="Arial" w:eastAsia="Arial" w:hAnsi="Arial"/>
          <w:sz w:val="14"/>
          <w:szCs w:val="14"/>
          <w:color w:val="auto"/>
        </w:rPr>
        <w:t>Consists of (i) 10,862,703 shares beneficially owned by our current executive officers, directors, and director nominees and (ii) 3,699,790 shares issuable upon the exercise of options exercisable and RSUs lapsing within 60 days of March 31, 2025, all of which will vest within such date.</w:t>
      </w: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PERSON TRANSACTIONS</w:t>
      </w:r>
    </w:p>
    <w:p>
      <w:pPr>
        <w:spacing w:after="0" w:line="185" w:lineRule="exact"/>
        <w:rPr>
          <w:sz w:val="20"/>
          <w:szCs w:val="20"/>
          <w:color w:val="auto"/>
        </w:rPr>
      </w:pPr>
    </w:p>
    <w:p>
      <w:pPr>
        <w:ind w:right="100" w:firstLine="486"/>
        <w:spacing w:after="0" w:line="287" w:lineRule="auto"/>
        <w:rPr>
          <w:sz w:val="20"/>
          <w:szCs w:val="20"/>
          <w:color w:val="auto"/>
        </w:rPr>
      </w:pPr>
      <w:r>
        <w:rPr>
          <w:rFonts w:ascii="Arial" w:cs="Arial" w:eastAsia="Arial" w:hAnsi="Arial"/>
          <w:sz w:val="18"/>
          <w:szCs w:val="18"/>
          <w:color w:val="auto"/>
        </w:rPr>
        <w:t>We describe below transactions and series of similar transactions, since the beginning of our last fiscal year, to which we were a party or will be a party, in which:</w:t>
      </w:r>
    </w:p>
    <w:p>
      <w:pPr>
        <w:spacing w:after="0" w:line="126" w:lineRule="exact"/>
        <w:rPr>
          <w:sz w:val="20"/>
          <w:szCs w:val="20"/>
          <w:color w:val="auto"/>
        </w:rPr>
      </w:pPr>
    </w:p>
    <w:p>
      <w:pPr>
        <w:ind w:left="1140" w:hanging="48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7" w:lineRule="exact"/>
        <w:rPr>
          <w:rFonts w:ascii="Arial" w:cs="Arial" w:eastAsia="Arial" w:hAnsi="Arial"/>
          <w:sz w:val="18"/>
          <w:szCs w:val="18"/>
          <w:color w:val="auto"/>
        </w:rPr>
      </w:pPr>
    </w:p>
    <w:p>
      <w:pPr>
        <w:jc w:val="both"/>
        <w:ind w:left="1140" w:right="180" w:hanging="484"/>
        <w:spacing w:after="0" w:line="258" w:lineRule="auto"/>
        <w:tabs>
          <w:tab w:leader="none" w:pos="1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Involving the Baker Funds</w:t>
      </w:r>
    </w:p>
    <w:p>
      <w:pPr>
        <w:spacing w:after="0" w:line="18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February 2024, we entered into a securities purchase agreement (the “Purchase Agreement”) with the purchasers named therein, including Baker Brothers Life Sciences, L.P. and 667, L.P.. Under the Purchase Agreement, we agreed to sell 3,244,689 shares of our common stock for a purchase price of $17.07 per share, and 26,046,065 pre-funded warrants to purchase our common stock for a purchase price of $17.06 per share of common stock issuable upon exercise, for aggregate gross proceeds of approximately $500.0 million. The Baker Funds purchased all 26,046,065 pre-funded warrants for approximately $444.0 million.</w:t>
      </w:r>
    </w:p>
    <w:p>
      <w:pPr>
        <w:spacing w:after="0" w:line="13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connection with the Purchase Agreement, we entered into a nominating agreement (the “Nominating Agreement”) with the Baker Funds. Pursuant to the Nominating Agreement, at such time beginning 60 days after the Baker Funds, together with their affiliates, beneficially own more than 10% of our outstanding common stock, and ending at such time as the Baker Funds and their affiliates beneficially own at least 65% of the number of securities purchased pursuant to the Purchase Agreement, the Baker Funds shall have the right to designate one individual to serve on our board of directors (the “Baker Funds Designation Right”); and if the Baker Funds have exercised this right, we shall include the designee in the slate of nominees recommended to our stockholders for election as directors of the Company at each annual or special meeting of the Company’s stockholders at which directors of the same class as the such designee are to be elected, subject to certain exceptions.</w:t>
      </w:r>
    </w:p>
    <w:p>
      <w:pPr>
        <w:spacing w:after="0" w:line="158"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In connection with the Purchase Agreement, we agreed to enter into a registration rights agreement (the “Affiliate Registration Rights Agreement”) with the Baker Funds upon request from the Baker Funds following such time that the Baker Funds may be deemed an affiliate of the Company, pursuant to which the Baker Funds are entitled to certain resale registration rights with respect to shares of Common Stock held by the Baker Funds (the “Affiliate Registrable Securities”). Under the Affiliate Registration Rights Agreement, following a request by the Baker Funds, we are obligated to file a resale registration statement on Form S-3, or other appropriate form, covering the Affiliate Registrable Securities. We have agreed to file such resale registration statement as promptly as reasonably practicable following such request, and in any event within 60 days of such request. Our obligations to file such registration statement are subject to specified exceptions, and suspension and deferral rights as are set forth in the Affiliate Registration Rights Agreement. Under specified circumstances, the Company may also include securities of the Company in any such registration statement. Under the Affiliate Registration Rights Agreement, the Baker Funds also have the right to one underwritten offering per calendar year, but no more than three underwritten offerings in total and not more than two underwritten offerings or “block trades” (as defined in the Affiliate Registration Rights Agreement) in any twelve-month period, to effect the sale or distribution of the Affiliate Registrable Securities, subject to certain exceptions, conditions and limitations.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8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58"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have entered into employment agreements with certain of our executive officers and certain of our executives participate in our Severance Plan that, among other things, provide for certain severance and change of control benefits. For a description of employment agreements with, and benefits under our Severance Plan for, our named executive officers, see “Executive Compensation—Executive Employment Agreements.”</w:t>
      </w:r>
    </w:p>
    <w:p>
      <w:pPr>
        <w:spacing w:after="0" w:line="136" w:lineRule="exact"/>
        <w:rPr>
          <w:sz w:val="20"/>
          <w:szCs w:val="20"/>
          <w:color w:val="auto"/>
        </w:rPr>
      </w:pPr>
    </w:p>
    <w:p>
      <w:pPr>
        <w:ind w:right="280" w:firstLine="486"/>
        <w:spacing w:after="0" w:line="287" w:lineRule="auto"/>
        <w:rPr>
          <w:sz w:val="20"/>
          <w:szCs w:val="20"/>
          <w:color w:val="auto"/>
        </w:rPr>
      </w:pPr>
      <w:r>
        <w:rPr>
          <w:rFonts w:ascii="Arial" w:cs="Arial" w:eastAsia="Arial" w:hAnsi="Arial"/>
          <w:sz w:val="18"/>
          <w:szCs w:val="18"/>
          <w:color w:val="auto"/>
        </w:rPr>
        <w:t>We have granted stock options and RSUs to our named executive officers, other executive officers and certain of our directors. See “Executive Compensation—Executive Employment Agreements.”</w:t>
      </w:r>
    </w:p>
    <w:p>
      <w:pPr>
        <w:spacing w:after="0" w:line="11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Other than as described above, since January 1, 2019,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9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have adopted a formal written policy providing that our audit committee will be responsible for reviewing “related party transactions,” which are transactions (i) in which we are or will be a participant, (ii) in which the aggregate amount involved exceeds or may be expected to exceed $120,000 and (iii) in which a related person has or will have a direct or indirect interest. For purposes of this policy, a related person will be defined as a director, nominee for director, executive officer, or greater than 5% beneficial owner of our common stock and their immediate family members. In reviewing any related party transaction, our audit committee is to consider the relevant facts and circumstances available to our audit committee, including, whether the transaction is on terms no less favorable than terms generally available to an unaffiliated third party under the same or similar circumstances, and the extent of the related party’s interest in the transaction. Under this policy, all related party transactions may be consummated or continued only if approved or ratified by our audit committee.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Annual Report and SEC Filings</w:t>
      </w:r>
    </w:p>
    <w:p>
      <w:pPr>
        <w:spacing w:after="0" w:line="185"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Our financial statements for our fiscal year ended December 31, 2024 are included in our Annual Report on Form 10-K filed with the SEC on February 27, 2025 (File No. 001-38311). This proxy statement and our Annual Report are posted in the SEC filings section of the Investor &amp; Media Relations web page at https://denalitherapeutics.com/investors and are available from the SEC at its website at www.sec.gov. You may also obtain a copy of our Annual Report without charge by sending a written request to Denali Therapeutics Inc., Attention: Investor Relations, 161 Oyster Point Blvd., South San Francisco, California 94080.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w:t>
      </w:r>
    </w:p>
    <w:p>
      <w:pPr>
        <w:spacing w:after="0" w:line="19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We maintain a website at www.denalitherapeutics.com.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DELINQUENT SECTION 16(A) REPORTS</w:t>
      </w:r>
    </w:p>
    <w:p>
      <w:pPr>
        <w:spacing w:after="0" w:line="25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and executive officers, and persons who own more than 10% of a registered class of our equity securities, to file with the SEC initial reports of ownership and reports of changes in ownership of our Common Stock and other equity securities. Such persons are also required to provide us with copies of all such reports filed with the SEC. Based solely upon the information supplied to us by these persons, we are required to report any known failure to file these reports within the specified period. To our knowledge, based solely upon a review of the Section 16(a) reports furnished to us and the written representations of these reporting persons, these persons complied with all filing requirements in a timely fashion for fiscal year 2024.</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OF STOCKHOLDERS FOR 2026 ANNUAL MEETING</w:t>
      </w:r>
    </w:p>
    <w:p>
      <w:pPr>
        <w:spacing w:after="0" w:line="185" w:lineRule="exact"/>
        <w:rPr>
          <w:sz w:val="20"/>
          <w:szCs w:val="20"/>
          <w:color w:val="auto"/>
        </w:rPr>
      </w:pPr>
    </w:p>
    <w:p>
      <w:pPr>
        <w:ind w:right="140" w:firstLine="486"/>
        <w:spacing w:after="0" w:line="268" w:lineRule="auto"/>
        <w:rPr>
          <w:sz w:val="20"/>
          <w:szCs w:val="20"/>
          <w:color w:val="auto"/>
        </w:rPr>
      </w:pPr>
      <w:r>
        <w:rPr>
          <w:rFonts w:ascii="Arial" w:cs="Arial" w:eastAsia="Arial" w:hAnsi="Arial"/>
          <w:sz w:val="18"/>
          <w:szCs w:val="18"/>
          <w:color w:val="auto"/>
        </w:rPr>
        <w:t>Stockholders who wish to present proposals for inclusion in the proxy materials to be distributed in connection with next year’s annual meeting must submit their proposals so that they are received at Denali’s principal executive offices no later than December 18, 2025. Pursuant to the rules promulgated by the SEC, simply submitting a proposal does not guarantee that it will be included.</w:t>
      </w:r>
    </w:p>
    <w:p>
      <w:pPr>
        <w:spacing w:after="0" w:line="14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order to be properly brought before the 2026 annual meeting of stockholders, a stockholder’s notice of a matter the stockholder wishes to present, or the person or persons the stockholder wishes to nominate as a director, must be delivered to the Secretary of Denali at its principal executive offices not later than 5:00 p.m., Pacific time, on the 45th day nor earlier than 8:00 a.m., Pacific time, on the 75th day before the one-year anniversary of the date on which Denali first mailed its proxy materials or a notice of availability of proxy materials (whichever is earlier) for the preceding year’s annual meeting. As a result, any notice given by a stockholder pursuant to these provisions of our bylaws must be received no earlier than 8:00 a.m., Pacific time, on February 1, 2026, and no later than5:00 p.m., Pacific time, on March 3, 2026, unless our annual meeting date occurs more than 25 days before or after June 3, 2026. In that case, we must receive proposals not earlier than 8:00 a.m., Pacific time, on the 120th day prior to the date of the 2026 annual meeting and not later than 5:00 p.m., Pacific time, on the later of the 90th day prior to the date of the annual meeting or the 10th day following the day on which we first make a public announcement of the date of the meeting.</w:t>
      </w:r>
    </w:p>
    <w:p>
      <w:pPr>
        <w:spacing w:after="0" w:line="14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To be in proper form, a stockholder’s notice must include the specified information concerning the proposal or nominee as described in our bylaws. In addition, the notice must contain the information required by, and otherwise comply with, Rule 14A-19(b) of the Exchange Act, if applicable. A stockholder who wishes to submit a proposal or nomination is encouraged to seek independent counsel about our bylaws and SEC requirements. Denali will not consider any proposal or nomination that is not timely or otherwise does not meet the bylaws and SEC requirements for submitting a proposal or nomination.</w:t>
      </w:r>
    </w:p>
    <w:p>
      <w:pPr>
        <w:spacing w:after="0" w:line="139" w:lineRule="exact"/>
        <w:rPr>
          <w:sz w:val="20"/>
          <w:szCs w:val="20"/>
          <w:color w:val="auto"/>
        </w:rPr>
      </w:pPr>
    </w:p>
    <w:p>
      <w:pPr>
        <w:ind w:right="360" w:firstLine="486"/>
        <w:spacing w:after="0" w:line="268" w:lineRule="auto"/>
        <w:rPr>
          <w:sz w:val="20"/>
          <w:szCs w:val="20"/>
          <w:color w:val="auto"/>
        </w:rPr>
      </w:pPr>
      <w:r>
        <w:rPr>
          <w:rFonts w:ascii="Arial" w:cs="Arial" w:eastAsia="Arial" w:hAnsi="Arial"/>
          <w:sz w:val="18"/>
          <w:szCs w:val="18"/>
          <w:color w:val="auto"/>
        </w:rPr>
        <w:t>Notices of intention to present proposals at the 2026 annual meeting of stockholders must be addressed to: Secretary, Denali Therapeutics Inc., 161 Oyster Point Blvd., South San Francisco, California 94080. We reserve the right to reject, rule out of order, or take other appropriate action with respect to any proposal that does not comply with these and other applicable requirements.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30" w:lineRule="exact"/>
        <w:rPr>
          <w:sz w:val="20"/>
          <w:szCs w:val="20"/>
          <w:color w:val="auto"/>
        </w:rPr>
      </w:pPr>
    </w:p>
    <w:p>
      <w:pPr>
        <w:ind w:right="40" w:firstLine="486"/>
        <w:spacing w:after="0" w:line="266" w:lineRule="auto"/>
        <w:rPr>
          <w:sz w:val="20"/>
          <w:szCs w:val="20"/>
          <w:color w:val="auto"/>
        </w:rPr>
      </w:pPr>
      <w:r>
        <w:rPr>
          <w:rFonts w:ascii="Arial" w:cs="Arial" w:eastAsia="Arial" w:hAnsi="Arial"/>
          <w:sz w:val="18"/>
          <w:szCs w:val="18"/>
          <w:color w:val="auto"/>
        </w:rPr>
        <w:t>It is important that your shares of common stock be represented at the Annual Meeting, regardless of the number of shares that you hold. You are, therefore, urged to vote by telephone, by using the Internet or by mail at your earliest convenience, as instructed on the Notice of Internet Availability of Proxy Materials.</w:t>
      </w:r>
    </w:p>
    <w:p>
      <w:pPr>
        <w:ind w:left="6900"/>
        <w:spacing w:after="0"/>
        <w:rPr>
          <w:sz w:val="20"/>
          <w:szCs w:val="20"/>
          <w:color w:val="auto"/>
        </w:rPr>
      </w:pPr>
      <w:r>
        <w:rPr>
          <w:rFonts w:ascii="Arial" w:cs="Arial" w:eastAsia="Arial" w:hAnsi="Arial"/>
          <w:sz w:val="18"/>
          <w:szCs w:val="18"/>
          <w:b w:val="1"/>
          <w:bCs w:val="1"/>
          <w:color w:val="auto"/>
        </w:rPr>
        <w:t>THE BOARD OF DIRECTORS</w:t>
      </w:r>
    </w:p>
    <w:p>
      <w:pPr>
        <w:spacing w:after="0" w:line="29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South San Francisco, California</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April 17,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343535</wp:posOffset>
            </wp:positionV>
            <wp:extent cx="5349240" cy="6892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343535</wp:posOffset>
            </wp:positionV>
            <wp:extent cx="5349240" cy="6917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-68-</w:t>
      </w:r>
    </w:p>
    <w:sectPr>
      <w:pgSz w:w="11900" w:h="16838" w:orient="portrait"/>
      <w:cols w:equalWidth="0" w:num="1">
        <w:col w:w="10139"/>
      </w:cols>
      <w:pgMar w:left="32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x"/>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lvl w:ilvl="1">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3"/>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decimal"/>
      <w:start w:val="3"/>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decimal"/>
      <w:start w:val="5"/>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7"/>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2025-04-17T15:18:42Z</dcterms:created>
  <dcterms:modified xsi:type="dcterms:W3CDTF">2025-04-17T15:18:42Z</dcterms:modified>
</cp:coreProperties>
</file>