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8</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Denali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BAILLIE GIFFORD &amp; CO</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KINGDOM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11,915,890.00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spacing w:before="0" w:after="283"/>
                    <w:jc w:val="left"/>
                    <w:rPr/>
                  </w:pPr>
                  <w:r>
                    <w:rPr/>
                    <w:t xml:space="preserve">Shared Voting Power </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11,960,230.00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spacing w:before="0" w:after="283"/>
                    <w:jc w:val="left"/>
                    <w:rPr/>
                  </w:pPr>
                  <w:r>
                    <w:rPr/>
                    <w:t xml:space="preserve">Shared Dispositive Power </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11,960,230.00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7.5 %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Denali Therapeutics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161 OYSTER POINT BLVD., 161 OYSTER POINT BLVD., SOUTH SAN FRANCISCO, CALIFORNIA, 94080.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Baillie Gifford &amp; Co</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3 Haymarket Square Edinburgh EH3 8RY Scotland UK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Scotland</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0"/>
              <w:jc w:val="left"/>
              <w:rPr/>
            </w:pPr>
            <w:r>
              <w:rPr/>
              <w:t>Investment Adviser</w:t>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11,960,230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7.54  %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11,915,890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11,960,230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Securities reported on this Schedule 13G as being beneficially owned by Baillie Gifford &amp; Co. are held by Baillie Gifford &amp; Co. and/or one or more of its investment adviser subsidiaries, which may include Baillie Gifford Overseas Limited, on behalf of investment advisory clients, which may include investment companies registered under the Investment Company Act, employee benefit plans, pension funds or other institutional clients.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Item 10.</w:t>
            </w:r>
          </w:p>
        </w:tc>
        <w:tc>
          <w:tcPr>
            <w:tcW w:w="9039" w:type="dxa"/>
            <w:tcBorders/>
            <w:vAlign w:val="center"/>
          </w:tcPr>
          <w:p>
            <w:pPr>
              <w:pStyle w:val="TableContents"/>
              <w:bidi w:val="0"/>
              <w:spacing w:before="0" w:after="283"/>
              <w:jc w:val="left"/>
              <w:rPr/>
            </w:pPr>
            <w:r>
              <w:rPr/>
              <w:t>Certifications:</w:t>
            </w:r>
          </w:p>
        </w:tc>
      </w:tr>
      <w:tr>
        <w:trPr/>
        <w:tc>
          <w:tcPr>
            <w:tcW w:w="1166" w:type="dxa"/>
            <w:tcBorders/>
            <w:vAlign w:val="center"/>
          </w:tcPr>
          <w:p>
            <w:pPr>
              <w:pStyle w:val="TableContents"/>
              <w:bidi w:val="0"/>
              <w:spacing w:before="0" w:after="283"/>
              <w:jc w:val="left"/>
              <w:rPr/>
            </w:pPr>
            <w:r>
              <w:rPr/>
              <w:t> </w:t>
            </w:r>
          </w:p>
        </w:tc>
        <w:tc>
          <w:tcPr>
            <w:tcW w:w="9039"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By signing below I certify that, to the best of my knowledge and belief, the foreign regulatory scheme applicable to Investment Adviser is substantially comparable to the regulatory scheme applicable to the functionally equivalent U.S. institution(s). I also undertake to furnish to the Commission staff, upon request, information that would otherwise be disclosed in a Schedule 13D.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000" w:type="dxa"/>
        <w:jc w:val="left"/>
        <w:tblInd w:w="0" w:type="dxa"/>
        <w:tblLayout w:type="fixed"/>
        <w:tblCellMar>
          <w:top w:w="28" w:type="dxa"/>
          <w:left w:w="28" w:type="dxa"/>
          <w:bottom w:w="28" w:type="dxa"/>
          <w:right w:w="28" w:type="dxa"/>
        </w:tblCellMar>
      </w:tblPr>
      <w:tblGrid>
        <w:gridCol w:w="3000"/>
        <w:gridCol w:w="3000"/>
      </w:tblGrid>
      <w:tr>
        <w:trPr/>
        <w:tc>
          <w:tcPr>
            <w:tcW w:w="3000" w:type="dxa"/>
            <w:tcBorders/>
            <w:vAlign w:val="center"/>
          </w:tcPr>
          <w:p>
            <w:pPr>
              <w:pStyle w:val="TableContents"/>
              <w:bidi w:val="0"/>
              <w:spacing w:before="0" w:after="0"/>
              <w:jc w:val="left"/>
              <w:rPr/>
            </w:pPr>
            <w:r>
              <w:rPr/>
              <w:t> </w:t>
            </w:r>
          </w:p>
          <w:tbl>
            <w:tblPr>
              <w:tblW w:w="2866" w:type="dxa"/>
              <w:jc w:val="left"/>
              <w:tblInd w:w="0" w:type="dxa"/>
              <w:tblLayout w:type="fixed"/>
              <w:tblCellMar>
                <w:top w:w="28" w:type="dxa"/>
                <w:left w:w="28" w:type="dxa"/>
                <w:bottom w:w="28" w:type="dxa"/>
                <w:right w:w="28" w:type="dxa"/>
              </w:tblCellMar>
            </w:tblPr>
            <w:tblGrid>
              <w:gridCol w:w="2866"/>
            </w:tblGrid>
            <w:tr>
              <w:trPr/>
              <w:tc>
                <w:tcPr>
                  <w:tcW w:w="2866" w:type="dxa"/>
                  <w:tcBorders/>
                  <w:vAlign w:val="center"/>
                </w:tcPr>
                <w:p>
                  <w:pPr>
                    <w:pStyle w:val="TableContents"/>
                    <w:bidi w:val="0"/>
                    <w:spacing w:before="0" w:after="0"/>
                    <w:jc w:val="left"/>
                    <w:rPr/>
                  </w:pPr>
                  <w:r>
                    <w:rPr/>
                    <w:t>BAILLIE GIFFORD &amp; CO</w:t>
                  </w:r>
                </w:p>
              </w:tc>
            </w:tr>
          </w:tbl>
          <w:p>
            <w:pPr>
              <w:pStyle w:val="TableContents"/>
              <w:bidi w:val="0"/>
              <w:spacing w:before="0" w:after="283"/>
              <w:jc w:val="left"/>
              <w:rPr/>
            </w:pPr>
            <w:r>
              <w:rPr/>
            </w:r>
          </w:p>
        </w:tc>
        <w:tc>
          <w:tcPr>
            <w:tcW w:w="30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0"/>
        <w:gridCol w:w="4295"/>
      </w:tblGrid>
      <w:tr>
        <w:trPr/>
        <w:tc>
          <w:tcPr>
            <w:tcW w:w="591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Grant Meikle</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Regulatory Reporting Manager</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07/28/2026</w:t>
                  </w:r>
                </w:p>
              </w:tc>
            </w:tr>
          </w:tbl>
          <w:p>
            <w:pPr>
              <w:pStyle w:val="TableContents"/>
              <w:bidi w:val="0"/>
              <w:spacing w:before="0" w:after="283"/>
              <w:jc w:val="left"/>
              <w:rPr/>
            </w:pPr>
            <w:r>
              <w:rPr/>
            </w:r>
          </w:p>
        </w:tc>
        <w:tc>
          <w:tcPr>
            <w:tcW w:w="429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940</Words>
  <Characters>4898</Characters>
  <CharactersWithSpaces>5831</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